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A8C" w14:textId="77777777" w:rsidR="00DB14A1" w:rsidRPr="000C092F" w:rsidRDefault="00DB14A1">
      <w:pPr>
        <w:spacing w:line="240" w:lineRule="auto"/>
        <w:ind w:firstLine="0"/>
        <w:rPr>
          <w:bCs/>
          <w:i/>
          <w:iCs/>
          <w:color w:val="222222"/>
          <w:sz w:val="32"/>
          <w:szCs w:val="32"/>
          <w:shd w:val="clear" w:color="auto" w:fill="FFFFFF"/>
          <w:lang w:val="en-US"/>
        </w:rPr>
      </w:pPr>
    </w:p>
    <w:p w14:paraId="343A8307" w14:textId="6C432FB8" w:rsidR="00DB14A1" w:rsidRPr="0005526A" w:rsidRDefault="0005526A">
      <w:pPr>
        <w:jc w:val="center"/>
        <w:rPr>
          <w:sz w:val="32"/>
          <w:szCs w:val="32"/>
        </w:rPr>
      </w:pPr>
      <w:r w:rsidRPr="0005526A">
        <w:rPr>
          <w:sz w:val="32"/>
          <w:szCs w:val="32"/>
        </w:rPr>
        <w:t>Document de vulgarisation</w:t>
      </w:r>
    </w:p>
    <w:p w14:paraId="43C17909" w14:textId="77777777" w:rsidR="00DB14A1" w:rsidRPr="0005526A" w:rsidRDefault="00000000">
      <w:pPr>
        <w:spacing w:line="276" w:lineRule="auto"/>
        <w:ind w:firstLine="0"/>
        <w:jc w:val="center"/>
        <w:rPr>
          <w:b/>
          <w:color w:val="222222"/>
          <w:sz w:val="48"/>
          <w:szCs w:val="48"/>
          <w:shd w:val="clear" w:color="auto" w:fill="FFFFFF"/>
        </w:rPr>
      </w:pPr>
      <w:r w:rsidRPr="0005526A">
        <w:rPr>
          <w:b/>
          <w:color w:val="222222"/>
          <w:sz w:val="48"/>
          <w:szCs w:val="48"/>
          <w:shd w:val="clear" w:color="auto" w:fill="FFFFFF"/>
        </w:rPr>
        <w:t xml:space="preserve">Mesure de l’état de santé perçu dans la zone de Nouna, Burkina Faso : Essai de trois instruments </w:t>
      </w:r>
    </w:p>
    <w:p w14:paraId="04F181B2" w14:textId="77777777" w:rsidR="00DB14A1" w:rsidRPr="000C092F" w:rsidRDefault="00000000">
      <w:pPr>
        <w:spacing w:after="11" w:line="23" w:lineRule="atLeast"/>
        <w:ind w:right="360" w:firstLine="0"/>
        <w:jc w:val="left"/>
        <w:rPr>
          <w:sz w:val="32"/>
          <w:szCs w:val="32"/>
          <w:lang w:eastAsia="en-US"/>
        </w:rPr>
      </w:pPr>
      <w:r w:rsidRPr="000C092F">
        <w:rPr>
          <w:b/>
          <w:bCs/>
          <w:sz w:val="32"/>
          <w:szCs w:val="32"/>
          <w:lang w:eastAsia="en-US"/>
        </w:rPr>
        <w:t>Introduction</w:t>
      </w:r>
      <w:r w:rsidRPr="000C092F">
        <w:rPr>
          <w:sz w:val="32"/>
          <w:szCs w:val="32"/>
          <w:lang w:eastAsia="en-US"/>
        </w:rPr>
        <w:tab/>
      </w:r>
    </w:p>
    <w:p w14:paraId="40092A1C" w14:textId="77777777" w:rsidR="00DB14A1" w:rsidRPr="000C092F" w:rsidRDefault="00000000">
      <w:pPr>
        <w:spacing w:after="11" w:line="23" w:lineRule="atLeast"/>
        <w:ind w:right="363" w:firstLine="0"/>
        <w:rPr>
          <w:sz w:val="32"/>
          <w:szCs w:val="32"/>
          <w:lang w:val="fr" w:eastAsia="en-US"/>
        </w:rPr>
      </w:pPr>
      <w:r w:rsidRPr="000C092F">
        <w:rPr>
          <w:sz w:val="32"/>
          <w:szCs w:val="32"/>
          <w:lang w:val="fr" w:eastAsia="en-US"/>
        </w:rPr>
        <w:t xml:space="preserve">L’état de santé </w:t>
      </w:r>
      <w:r w:rsidRPr="000C092F">
        <w:rPr>
          <w:sz w:val="32"/>
          <w:szCs w:val="32"/>
          <w:lang w:eastAsia="en-US"/>
        </w:rPr>
        <w:t>perçu</w:t>
      </w:r>
      <w:r w:rsidRPr="000C092F">
        <w:rPr>
          <w:sz w:val="32"/>
          <w:szCs w:val="32"/>
          <w:lang w:val="fr" w:eastAsia="en-US"/>
        </w:rPr>
        <w:t xml:space="preserve"> est une réponse à une question unique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>sur la perception de sa propre santé avec</w:t>
      </w:r>
      <w:r w:rsidRPr="000C092F">
        <w:rPr>
          <w:sz w:val="32"/>
          <w:szCs w:val="32"/>
          <w:lang w:eastAsia="en-US"/>
        </w:rPr>
        <w:t xml:space="preserve"> des </w:t>
      </w:r>
      <w:r w:rsidRPr="000C092F">
        <w:rPr>
          <w:sz w:val="32"/>
          <w:szCs w:val="32"/>
          <w:lang w:val="fr" w:eastAsia="en-US"/>
        </w:rPr>
        <w:t>catégories de réponses allant de « très bien » à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 xml:space="preserve">« très </w:t>
      </w:r>
      <w:r w:rsidRPr="000C092F">
        <w:rPr>
          <w:sz w:val="32"/>
          <w:szCs w:val="32"/>
          <w:lang w:eastAsia="en-US"/>
        </w:rPr>
        <w:t xml:space="preserve">mauvaise </w:t>
      </w:r>
      <w:r w:rsidRPr="000C092F">
        <w:rPr>
          <w:sz w:val="32"/>
          <w:szCs w:val="32"/>
          <w:lang w:val="fr" w:eastAsia="en-US"/>
        </w:rPr>
        <w:t xml:space="preserve">». La </w:t>
      </w:r>
      <w:r w:rsidRPr="000C092F">
        <w:rPr>
          <w:sz w:val="32"/>
          <w:szCs w:val="32"/>
          <w:lang w:eastAsia="en-US"/>
        </w:rPr>
        <w:t xml:space="preserve">perception de santé </w:t>
      </w:r>
      <w:r w:rsidRPr="000C092F">
        <w:rPr>
          <w:sz w:val="32"/>
          <w:szCs w:val="32"/>
          <w:lang w:val="fr" w:eastAsia="en-US"/>
        </w:rPr>
        <w:t>est considérée comme une mesure holistique de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>la santé, reflétant à la fois la santé physique et mentale,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>comme le bien-être.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 xml:space="preserve">La </w:t>
      </w:r>
      <w:r w:rsidRPr="000C092F">
        <w:rPr>
          <w:sz w:val="32"/>
          <w:szCs w:val="32"/>
          <w:lang w:eastAsia="en-US"/>
        </w:rPr>
        <w:t xml:space="preserve">santé perçue </w:t>
      </w:r>
      <w:r w:rsidRPr="000C092F">
        <w:rPr>
          <w:sz w:val="32"/>
          <w:szCs w:val="32"/>
          <w:lang w:val="fr" w:eastAsia="en-US"/>
        </w:rPr>
        <w:t>est un prédicteur valide et fiable qui identifie</w:t>
      </w:r>
      <w:r w:rsidRPr="000C092F">
        <w:rPr>
          <w:sz w:val="32"/>
          <w:szCs w:val="32"/>
          <w:lang w:eastAsia="en-US"/>
        </w:rPr>
        <w:t xml:space="preserve"> les </w:t>
      </w:r>
      <w:r w:rsidRPr="000C092F">
        <w:rPr>
          <w:sz w:val="32"/>
          <w:szCs w:val="32"/>
          <w:lang w:val="fr" w:eastAsia="en-US"/>
        </w:rPr>
        <w:t>personnes présentant un risque élevé de problèmes de santé</w:t>
      </w:r>
      <w:r w:rsidRPr="000C092F">
        <w:rPr>
          <w:sz w:val="32"/>
          <w:szCs w:val="32"/>
          <w:lang w:eastAsia="en-US"/>
        </w:rPr>
        <w:t xml:space="preserve">, de </w:t>
      </w:r>
      <w:r w:rsidRPr="000C092F">
        <w:rPr>
          <w:sz w:val="32"/>
          <w:szCs w:val="32"/>
          <w:lang w:val="fr" w:eastAsia="en-US"/>
        </w:rPr>
        <w:t>développement de maladies chroniques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 xml:space="preserve">et </w:t>
      </w:r>
      <w:r w:rsidRPr="000C092F">
        <w:rPr>
          <w:sz w:val="32"/>
          <w:szCs w:val="32"/>
          <w:lang w:eastAsia="en-US"/>
        </w:rPr>
        <w:t xml:space="preserve">de </w:t>
      </w:r>
      <w:r w:rsidRPr="000C092F">
        <w:rPr>
          <w:sz w:val="32"/>
          <w:szCs w:val="32"/>
          <w:lang w:val="fr" w:eastAsia="en-US"/>
        </w:rPr>
        <w:t xml:space="preserve">déclin fonctionnel. </w:t>
      </w:r>
      <w:r w:rsidRPr="000C092F">
        <w:rPr>
          <w:sz w:val="32"/>
          <w:szCs w:val="32"/>
          <w:lang w:eastAsia="en-US"/>
        </w:rPr>
        <w:t>L’é</w:t>
      </w:r>
      <w:r w:rsidRPr="000C092F">
        <w:rPr>
          <w:sz w:val="32"/>
          <w:szCs w:val="32"/>
          <w:lang w:val="fr" w:eastAsia="en-US"/>
        </w:rPr>
        <w:t>tat de</w:t>
      </w:r>
      <w:r w:rsidRPr="000C092F">
        <w:rPr>
          <w:sz w:val="32"/>
          <w:szCs w:val="32"/>
          <w:lang w:eastAsia="en-US"/>
        </w:rPr>
        <w:t xml:space="preserve"> </w:t>
      </w:r>
      <w:proofErr w:type="spellStart"/>
      <w:r w:rsidRPr="000C092F">
        <w:rPr>
          <w:sz w:val="32"/>
          <w:szCs w:val="32"/>
          <w:lang w:val="fr" w:eastAsia="en-US"/>
        </w:rPr>
        <w:t>sant</w:t>
      </w:r>
      <w:proofErr w:type="spellEnd"/>
      <w:r w:rsidRPr="000C092F">
        <w:rPr>
          <w:sz w:val="32"/>
          <w:szCs w:val="32"/>
          <w:lang w:eastAsia="en-US"/>
        </w:rPr>
        <w:t>é</w:t>
      </w:r>
      <w:r w:rsidRPr="000C092F">
        <w:rPr>
          <w:sz w:val="32"/>
          <w:szCs w:val="32"/>
          <w:lang w:val="fr" w:eastAsia="en-US"/>
        </w:rPr>
        <w:t xml:space="preserve"> </w:t>
      </w:r>
      <w:r w:rsidRPr="000C092F">
        <w:rPr>
          <w:sz w:val="32"/>
          <w:szCs w:val="32"/>
          <w:lang w:eastAsia="en-US"/>
        </w:rPr>
        <w:t xml:space="preserve">perçu de la population est </w:t>
      </w:r>
      <w:r w:rsidRPr="000C092F">
        <w:rPr>
          <w:sz w:val="32"/>
          <w:szCs w:val="32"/>
          <w:lang w:val="fr" w:eastAsia="en-US"/>
        </w:rPr>
        <w:t xml:space="preserve">un outil de </w:t>
      </w:r>
      <w:r w:rsidRPr="000C092F">
        <w:rPr>
          <w:sz w:val="32"/>
          <w:szCs w:val="32"/>
          <w:lang w:eastAsia="en-US"/>
        </w:rPr>
        <w:t>prévision</w:t>
      </w:r>
      <w:r w:rsidRPr="000C092F">
        <w:rPr>
          <w:sz w:val="32"/>
          <w:szCs w:val="32"/>
          <w:lang w:val="fr" w:eastAsia="en-US"/>
        </w:rPr>
        <w:t xml:space="preserve"> de la </w:t>
      </w:r>
      <w:r w:rsidRPr="000C092F">
        <w:rPr>
          <w:sz w:val="32"/>
          <w:szCs w:val="32"/>
          <w:lang w:eastAsia="en-US"/>
        </w:rPr>
        <w:t>morbidité</w:t>
      </w:r>
      <w:r w:rsidRPr="000C092F">
        <w:rPr>
          <w:sz w:val="32"/>
          <w:szCs w:val="32"/>
          <w:lang w:val="fr" w:eastAsia="en-US"/>
        </w:rPr>
        <w:t xml:space="preserve"> et de la </w:t>
      </w:r>
      <w:r w:rsidRPr="000C092F">
        <w:rPr>
          <w:sz w:val="32"/>
          <w:szCs w:val="32"/>
          <w:lang w:eastAsia="en-US"/>
        </w:rPr>
        <w:t>mortalité</w:t>
      </w:r>
      <w:r w:rsidRPr="000C092F">
        <w:rPr>
          <w:sz w:val="32"/>
          <w:szCs w:val="32"/>
          <w:lang w:val="fr" w:eastAsia="en-US"/>
        </w:rPr>
        <w:t>.</w:t>
      </w:r>
      <w:r w:rsidRPr="000C092F">
        <w:rPr>
          <w:sz w:val="32"/>
          <w:szCs w:val="32"/>
          <w:lang w:eastAsia="en-US"/>
        </w:rPr>
        <w:t xml:space="preserve"> Pour avoir un proxy de l’état de santé dans la population générale, il est recommandé très souvent la </w:t>
      </w:r>
      <w:r w:rsidRPr="000C092F">
        <w:rPr>
          <w:sz w:val="32"/>
          <w:szCs w:val="32"/>
          <w:lang w:val="fr" w:eastAsia="en-US"/>
        </w:rPr>
        <w:t>collecte d</w:t>
      </w:r>
      <w:r w:rsidRPr="000C092F">
        <w:rPr>
          <w:sz w:val="32"/>
          <w:szCs w:val="32"/>
          <w:lang w:eastAsia="en-US"/>
        </w:rPr>
        <w:t>’</w:t>
      </w:r>
      <w:r w:rsidRPr="000C092F">
        <w:rPr>
          <w:sz w:val="32"/>
          <w:szCs w:val="32"/>
          <w:lang w:val="fr" w:eastAsia="en-US"/>
        </w:rPr>
        <w:t>informations sur l</w:t>
      </w:r>
      <w:r w:rsidRPr="000C092F">
        <w:rPr>
          <w:sz w:val="32"/>
          <w:szCs w:val="32"/>
          <w:lang w:eastAsia="en-US"/>
        </w:rPr>
        <w:t>’é</w:t>
      </w:r>
      <w:r w:rsidRPr="000C092F">
        <w:rPr>
          <w:sz w:val="32"/>
          <w:szCs w:val="32"/>
          <w:lang w:val="fr" w:eastAsia="en-US"/>
        </w:rPr>
        <w:t xml:space="preserve">tat de </w:t>
      </w:r>
      <w:proofErr w:type="spellStart"/>
      <w:r w:rsidRPr="000C092F">
        <w:rPr>
          <w:sz w:val="32"/>
          <w:szCs w:val="32"/>
          <w:lang w:val="fr" w:eastAsia="en-US"/>
        </w:rPr>
        <w:t>sant</w:t>
      </w:r>
      <w:proofErr w:type="spellEnd"/>
      <w:r w:rsidRPr="000C092F">
        <w:rPr>
          <w:sz w:val="32"/>
          <w:szCs w:val="32"/>
          <w:lang w:eastAsia="en-US"/>
        </w:rPr>
        <w:t>é</w:t>
      </w:r>
      <w:r w:rsidRPr="000C092F">
        <w:rPr>
          <w:sz w:val="32"/>
          <w:szCs w:val="32"/>
          <w:lang w:val="fr" w:eastAsia="en-US"/>
        </w:rPr>
        <w:t xml:space="preserve"> </w:t>
      </w:r>
      <w:r w:rsidRPr="000C092F">
        <w:rPr>
          <w:sz w:val="32"/>
          <w:szCs w:val="32"/>
          <w:lang w:eastAsia="en-US"/>
        </w:rPr>
        <w:t>perçu</w:t>
      </w:r>
      <w:r w:rsidRPr="000C092F">
        <w:rPr>
          <w:sz w:val="32"/>
          <w:szCs w:val="32"/>
          <w:lang w:val="fr" w:eastAsia="en-US"/>
        </w:rPr>
        <w:t xml:space="preserve"> dans </w:t>
      </w:r>
      <w:r w:rsidRPr="000C092F">
        <w:rPr>
          <w:sz w:val="32"/>
          <w:szCs w:val="32"/>
          <w:lang w:eastAsia="en-US"/>
        </w:rPr>
        <w:t xml:space="preserve">les </w:t>
      </w:r>
      <w:r w:rsidRPr="000C092F">
        <w:rPr>
          <w:sz w:val="32"/>
          <w:szCs w:val="32"/>
          <w:lang w:val="fr" w:eastAsia="en-US"/>
        </w:rPr>
        <w:t xml:space="preserve">contextes </w:t>
      </w:r>
      <w:r w:rsidRPr="000C092F">
        <w:rPr>
          <w:sz w:val="32"/>
          <w:szCs w:val="32"/>
          <w:lang w:eastAsia="en-US"/>
        </w:rPr>
        <w:t xml:space="preserve">à </w:t>
      </w:r>
      <w:r w:rsidRPr="000C092F">
        <w:rPr>
          <w:sz w:val="32"/>
          <w:szCs w:val="32"/>
          <w:lang w:val="fr" w:eastAsia="en-US"/>
        </w:rPr>
        <w:t>faibles</w:t>
      </w:r>
      <w:r w:rsidRPr="000C092F">
        <w:rPr>
          <w:sz w:val="32"/>
          <w:szCs w:val="32"/>
          <w:lang w:eastAsia="en-US"/>
        </w:rPr>
        <w:t xml:space="preserve"> ressources sanitaires et économiques, car elle est facile administrer et </w:t>
      </w:r>
      <w:r w:rsidRPr="000C092F">
        <w:rPr>
          <w:sz w:val="32"/>
          <w:szCs w:val="32"/>
          <w:lang w:eastAsia="en-US"/>
        </w:rPr>
        <w:lastRenderedPageBreak/>
        <w:t>peu conteuse. L’organisation</w:t>
      </w:r>
      <w:r w:rsidRPr="000C092F">
        <w:rPr>
          <w:sz w:val="32"/>
          <w:szCs w:val="32"/>
          <w:lang w:val="fr" w:eastAsia="en-US"/>
        </w:rPr>
        <w:t xml:space="preserve"> mondiale de la santé </w:t>
      </w:r>
      <w:r w:rsidRPr="000C092F">
        <w:rPr>
          <w:sz w:val="32"/>
          <w:szCs w:val="32"/>
          <w:lang w:eastAsia="en-US"/>
        </w:rPr>
        <w:t xml:space="preserve">(OMS) </w:t>
      </w:r>
      <w:r w:rsidRPr="000C092F">
        <w:rPr>
          <w:sz w:val="32"/>
          <w:szCs w:val="32"/>
          <w:lang w:val="fr" w:eastAsia="en-US"/>
        </w:rPr>
        <w:t>recommande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>une utilisation de routine</w:t>
      </w:r>
      <w:r w:rsidRPr="000C092F">
        <w:rPr>
          <w:sz w:val="32"/>
          <w:szCs w:val="32"/>
          <w:lang w:eastAsia="en-US"/>
        </w:rPr>
        <w:t xml:space="preserve"> des questions sur la perception de santé</w:t>
      </w:r>
      <w:r w:rsidRPr="000C092F">
        <w:rPr>
          <w:sz w:val="32"/>
          <w:szCs w:val="32"/>
          <w:lang w:val="fr" w:eastAsia="en-US"/>
        </w:rPr>
        <w:t xml:space="preserve"> dans les études de population</w:t>
      </w:r>
      <w:r w:rsidRPr="000C092F">
        <w:rPr>
          <w:sz w:val="32"/>
          <w:szCs w:val="32"/>
          <w:lang w:eastAsia="en-US"/>
        </w:rPr>
        <w:t xml:space="preserve"> (D</w:t>
      </w:r>
      <w:r w:rsidRPr="000C092F">
        <w:rPr>
          <w:sz w:val="32"/>
          <w:szCs w:val="32"/>
          <w:lang w:val="fr" w:eastAsia="en-US"/>
        </w:rPr>
        <w:t xml:space="preserve">e </w:t>
      </w:r>
      <w:proofErr w:type="spellStart"/>
      <w:r w:rsidRPr="000C092F">
        <w:rPr>
          <w:sz w:val="32"/>
          <w:szCs w:val="32"/>
          <w:lang w:val="fr" w:eastAsia="en-US"/>
        </w:rPr>
        <w:t>Bruin</w:t>
      </w:r>
      <w:proofErr w:type="spellEnd"/>
      <w:r w:rsidRPr="000C092F">
        <w:rPr>
          <w:sz w:val="32"/>
          <w:szCs w:val="32"/>
          <w:lang w:eastAsia="en-US"/>
        </w:rPr>
        <w:t xml:space="preserve"> et al., 1996). </w:t>
      </w:r>
      <w:r w:rsidRPr="000C092F">
        <w:rPr>
          <w:sz w:val="32"/>
          <w:szCs w:val="32"/>
          <w:lang w:val="fr" w:eastAsia="en-US"/>
        </w:rPr>
        <w:t xml:space="preserve">L’objectif de cette étude </w:t>
      </w:r>
      <w:r w:rsidRPr="000C092F">
        <w:rPr>
          <w:sz w:val="32"/>
          <w:szCs w:val="32"/>
          <w:lang w:eastAsia="en-US"/>
        </w:rPr>
        <w:t xml:space="preserve">est </w:t>
      </w:r>
      <w:r w:rsidRPr="000C092F">
        <w:rPr>
          <w:sz w:val="32"/>
          <w:szCs w:val="32"/>
          <w:lang w:val="fr" w:eastAsia="en-US"/>
        </w:rPr>
        <w:t xml:space="preserve">de développer un outil adapté au contexte socioculturel pour étudier </w:t>
      </w:r>
      <w:proofErr w:type="spellStart"/>
      <w:r w:rsidRPr="000C092F">
        <w:rPr>
          <w:sz w:val="32"/>
          <w:szCs w:val="32"/>
          <w:lang w:val="fr" w:eastAsia="en-US"/>
        </w:rPr>
        <w:t>l</w:t>
      </w:r>
      <w:r w:rsidRPr="000C092F">
        <w:rPr>
          <w:sz w:val="32"/>
          <w:szCs w:val="32"/>
          <w:lang w:eastAsia="en-US"/>
        </w:rPr>
        <w:t>es</w:t>
      </w:r>
      <w:proofErr w:type="spellEnd"/>
      <w:r w:rsidRPr="000C092F">
        <w:rPr>
          <w:sz w:val="32"/>
          <w:szCs w:val="32"/>
          <w:lang w:eastAsia="en-US"/>
        </w:rPr>
        <w:t xml:space="preserve"> perceptions de santé</w:t>
      </w:r>
      <w:r w:rsidRPr="000C092F">
        <w:rPr>
          <w:sz w:val="32"/>
          <w:szCs w:val="32"/>
          <w:lang w:val="fr" w:eastAsia="en-US"/>
        </w:rPr>
        <w:t xml:space="preserve"> de la population adulte </w:t>
      </w:r>
      <w:r w:rsidRPr="000C092F">
        <w:rPr>
          <w:sz w:val="32"/>
          <w:szCs w:val="32"/>
          <w:lang w:eastAsia="en-US"/>
        </w:rPr>
        <w:t xml:space="preserve">dans l’observatoire de population de Nouna, </w:t>
      </w:r>
      <w:r w:rsidRPr="000C092F">
        <w:rPr>
          <w:sz w:val="32"/>
          <w:szCs w:val="32"/>
          <w:lang w:val="fr" w:eastAsia="en-US"/>
        </w:rPr>
        <w:t>au Burkina Faso.</w:t>
      </w:r>
    </w:p>
    <w:p w14:paraId="3AA14099" w14:textId="77777777" w:rsidR="00DB14A1" w:rsidRPr="000C092F" w:rsidRDefault="00DB14A1">
      <w:pPr>
        <w:spacing w:after="11" w:line="23" w:lineRule="atLeast"/>
        <w:ind w:right="363" w:firstLine="0"/>
        <w:rPr>
          <w:sz w:val="32"/>
          <w:szCs w:val="32"/>
          <w:lang w:val="fr" w:eastAsia="en-US"/>
        </w:rPr>
      </w:pPr>
    </w:p>
    <w:p w14:paraId="573811E9" w14:textId="77777777" w:rsidR="00DB14A1" w:rsidRPr="000C092F" w:rsidRDefault="00000000">
      <w:pPr>
        <w:spacing w:after="11" w:line="23" w:lineRule="atLeast"/>
        <w:ind w:right="363" w:firstLine="0"/>
        <w:rPr>
          <w:sz w:val="32"/>
          <w:szCs w:val="32"/>
          <w:lang w:eastAsia="en-US"/>
        </w:rPr>
      </w:pPr>
      <w:r w:rsidRPr="000C092F">
        <w:rPr>
          <w:sz w:val="32"/>
          <w:szCs w:val="32"/>
          <w:lang w:eastAsia="en-US"/>
        </w:rPr>
        <w:t xml:space="preserve"> </w:t>
      </w:r>
    </w:p>
    <w:p w14:paraId="1D13F9CE" w14:textId="77777777" w:rsidR="00DB14A1" w:rsidRPr="000C092F" w:rsidRDefault="00000000">
      <w:pPr>
        <w:spacing w:after="11" w:line="23" w:lineRule="atLeast"/>
        <w:ind w:right="363" w:firstLine="0"/>
        <w:rPr>
          <w:b/>
          <w:bCs/>
          <w:sz w:val="32"/>
          <w:szCs w:val="32"/>
          <w:lang w:eastAsia="en-US"/>
        </w:rPr>
      </w:pPr>
      <w:r w:rsidRPr="000C092F">
        <w:rPr>
          <w:b/>
          <w:bCs/>
          <w:sz w:val="32"/>
          <w:szCs w:val="32"/>
          <w:lang w:eastAsia="en-US"/>
        </w:rPr>
        <w:t>Méthodologie / Matériel et Méthodes</w:t>
      </w:r>
    </w:p>
    <w:p w14:paraId="2263055E" w14:textId="77777777" w:rsidR="00DB14A1" w:rsidRPr="000C092F" w:rsidRDefault="00000000">
      <w:pPr>
        <w:spacing w:after="11" w:line="23" w:lineRule="atLeast"/>
        <w:ind w:right="363" w:firstLine="0"/>
        <w:rPr>
          <w:sz w:val="32"/>
          <w:szCs w:val="32"/>
          <w:lang w:val="fr" w:eastAsia="en-US"/>
        </w:rPr>
      </w:pPr>
      <w:r w:rsidRPr="000C092F">
        <w:rPr>
          <w:sz w:val="32"/>
          <w:szCs w:val="32"/>
          <w:lang w:eastAsia="en-US"/>
        </w:rPr>
        <w:t xml:space="preserve"> Cette recherche a été effectuée dans l’observatoire de population de Nouna qui est décrite plus en détail ailleurs (</w:t>
      </w:r>
      <w:proofErr w:type="spellStart"/>
      <w:r w:rsidRPr="000C092F">
        <w:rPr>
          <w:sz w:val="32"/>
          <w:szCs w:val="32"/>
          <w:lang w:eastAsia="en-US"/>
        </w:rPr>
        <w:t>Sie</w:t>
      </w:r>
      <w:proofErr w:type="spellEnd"/>
      <w:r w:rsidRPr="000C092F">
        <w:rPr>
          <w:sz w:val="32"/>
          <w:szCs w:val="32"/>
          <w:lang w:eastAsia="en-US"/>
        </w:rPr>
        <w:t xml:space="preserve"> et collab., 2010). </w:t>
      </w:r>
      <w:r w:rsidRPr="000C092F">
        <w:rPr>
          <w:sz w:val="32"/>
          <w:szCs w:val="32"/>
          <w:lang w:val="fr" w:eastAsia="en-US"/>
        </w:rPr>
        <w:t>L'étude a été réalisée en 2009, pendant la saison</w:t>
      </w:r>
      <w:r w:rsidRPr="000C092F">
        <w:rPr>
          <w:sz w:val="32"/>
          <w:szCs w:val="32"/>
          <w:lang w:eastAsia="en-US"/>
        </w:rPr>
        <w:t xml:space="preserve"> pluvieuse</w:t>
      </w:r>
      <w:r w:rsidRPr="000C092F">
        <w:rPr>
          <w:sz w:val="32"/>
          <w:szCs w:val="32"/>
          <w:lang w:val="fr" w:eastAsia="en-US"/>
        </w:rPr>
        <w:t>. L'échantillon comprenait 27 hommes et 25 femmes âgés de 18 ans ou plus. Trois instruments adaptés au contexte socioculturel ont été testés : un questionnaire sur la perception de la santé,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>une échelle visuelle analogique</w:t>
      </w:r>
      <w:r w:rsidRPr="000C092F">
        <w:rPr>
          <w:sz w:val="32"/>
          <w:szCs w:val="32"/>
          <w:lang w:eastAsia="en-US"/>
        </w:rPr>
        <w:t xml:space="preserve"> (</w:t>
      </w:r>
      <w:r w:rsidRPr="000C092F">
        <w:rPr>
          <w:sz w:val="32"/>
          <w:szCs w:val="32"/>
          <w:lang w:val="fr" w:eastAsia="en-US"/>
        </w:rPr>
        <w:t>EVA</w:t>
      </w:r>
      <w:r w:rsidRPr="000C092F">
        <w:rPr>
          <w:sz w:val="32"/>
          <w:szCs w:val="32"/>
          <w:lang w:eastAsia="en-US"/>
        </w:rPr>
        <w:t>)</w:t>
      </w:r>
      <w:r w:rsidRPr="000C092F">
        <w:rPr>
          <w:sz w:val="32"/>
          <w:szCs w:val="32"/>
          <w:lang w:val="fr" w:eastAsia="en-US"/>
        </w:rPr>
        <w:t xml:space="preserve"> dessinée </w:t>
      </w:r>
      <w:r w:rsidRPr="000C092F">
        <w:rPr>
          <w:sz w:val="32"/>
          <w:szCs w:val="32"/>
          <w:lang w:eastAsia="en-US"/>
        </w:rPr>
        <w:t xml:space="preserve">et une </w:t>
      </w:r>
      <w:r w:rsidRPr="000C092F">
        <w:rPr>
          <w:sz w:val="32"/>
          <w:szCs w:val="32"/>
          <w:lang w:val="fr" w:eastAsia="en-US"/>
        </w:rPr>
        <w:t>EVA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 xml:space="preserve">en bois. Il a été demandé aux répondants d'expliquer leurs réponses pour chaque instrument. Les récits ont été analysés avec la technique d'analyse de contenu, et la prévalence d'une mauvaise </w:t>
      </w:r>
      <w:r w:rsidRPr="000C092F">
        <w:rPr>
          <w:sz w:val="32"/>
          <w:szCs w:val="32"/>
          <w:lang w:val="fr" w:eastAsia="en-US"/>
        </w:rPr>
        <w:lastRenderedPageBreak/>
        <w:t xml:space="preserve">perception de santé a été estimée à partir des données quantitatives. Des variables contextuelles (sexe, âge, alphabétisation, éducation, état </w:t>
      </w:r>
      <w:r w:rsidRPr="000C092F">
        <w:rPr>
          <w:sz w:val="32"/>
          <w:szCs w:val="32"/>
          <w:lang w:eastAsia="en-US"/>
        </w:rPr>
        <w:t>matrimonial</w:t>
      </w:r>
      <w:r w:rsidRPr="000C092F">
        <w:rPr>
          <w:sz w:val="32"/>
          <w:szCs w:val="32"/>
          <w:lang w:val="fr" w:eastAsia="en-US"/>
        </w:rPr>
        <w:t>, origine ethnique, maladies chroniques</w:t>
      </w:r>
      <w:r w:rsidRPr="000C092F">
        <w:rPr>
          <w:sz w:val="32"/>
          <w:szCs w:val="32"/>
          <w:lang w:eastAsia="en-US"/>
        </w:rPr>
        <w:t>, etc.</w:t>
      </w:r>
      <w:r w:rsidRPr="000C092F">
        <w:rPr>
          <w:sz w:val="32"/>
          <w:szCs w:val="32"/>
          <w:lang w:val="fr" w:eastAsia="en-US"/>
        </w:rPr>
        <w:t xml:space="preserve">) ont été utilisées dans l’analyse. La corrélation entre les instruments a été testée avec le test de corrélation de Spearman. </w:t>
      </w:r>
    </w:p>
    <w:p w14:paraId="4BD19D19" w14:textId="77777777" w:rsidR="00DB14A1" w:rsidRPr="000C092F" w:rsidRDefault="00000000">
      <w:pPr>
        <w:spacing w:after="11" w:line="240" w:lineRule="auto"/>
        <w:ind w:right="360" w:firstLine="0"/>
        <w:jc w:val="left"/>
        <w:rPr>
          <w:sz w:val="32"/>
          <w:szCs w:val="32"/>
        </w:rPr>
      </w:pPr>
      <w:r w:rsidRPr="000C092F">
        <w:rPr>
          <w:noProof/>
          <w:sz w:val="32"/>
          <w:szCs w:val="32"/>
        </w:rPr>
        <w:drawing>
          <wp:inline distT="0" distB="0" distL="114300" distR="114300" wp14:anchorId="4076E209" wp14:editId="2BCA483D">
            <wp:extent cx="2600325" cy="1779270"/>
            <wp:effectExtent l="0" t="0" r="3175" b="1143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92F">
        <w:rPr>
          <w:noProof/>
          <w:sz w:val="32"/>
          <w:szCs w:val="32"/>
        </w:rPr>
        <w:drawing>
          <wp:inline distT="0" distB="0" distL="114300" distR="114300" wp14:anchorId="0A422541" wp14:editId="269BE0F8">
            <wp:extent cx="2430145" cy="1810385"/>
            <wp:effectExtent l="0" t="0" r="825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49987" w14:textId="53506E24" w:rsidR="00DB14A1" w:rsidRPr="00FA25B2" w:rsidRDefault="00000000">
      <w:pPr>
        <w:spacing w:after="11" w:line="240" w:lineRule="auto"/>
        <w:ind w:right="360" w:firstLine="0"/>
        <w:jc w:val="left"/>
        <w:rPr>
          <w:b/>
          <w:bCs/>
          <w:sz w:val="16"/>
          <w:szCs w:val="16"/>
          <w:lang w:eastAsia="en-US"/>
        </w:rPr>
      </w:pPr>
      <w:r w:rsidRPr="00FA25B2">
        <w:rPr>
          <w:b/>
          <w:bCs/>
          <w:sz w:val="16"/>
          <w:szCs w:val="16"/>
          <w:lang w:eastAsia="en-US"/>
        </w:rPr>
        <w:t>Figure 1</w:t>
      </w:r>
      <w:r w:rsidR="00FA25B2" w:rsidRPr="00FA25B2">
        <w:rPr>
          <w:b/>
          <w:bCs/>
          <w:sz w:val="16"/>
          <w:szCs w:val="16"/>
          <w:lang w:eastAsia="en-US"/>
        </w:rPr>
        <w:t xml:space="preserve"> </w:t>
      </w:r>
      <w:r w:rsidRPr="00FA25B2">
        <w:rPr>
          <w:b/>
          <w:bCs/>
          <w:sz w:val="16"/>
          <w:szCs w:val="16"/>
          <w:lang w:eastAsia="en-US"/>
        </w:rPr>
        <w:t>: Échelle</w:t>
      </w:r>
      <w:r w:rsidRPr="00FA25B2">
        <w:rPr>
          <w:b/>
          <w:bCs/>
          <w:sz w:val="16"/>
          <w:szCs w:val="16"/>
          <w:lang w:val="fr" w:eastAsia="en-US"/>
        </w:rPr>
        <w:t xml:space="preserve"> </w:t>
      </w:r>
      <w:r w:rsidRPr="00FA25B2">
        <w:rPr>
          <w:b/>
          <w:bCs/>
          <w:sz w:val="16"/>
          <w:szCs w:val="16"/>
          <w:lang w:eastAsia="en-US"/>
        </w:rPr>
        <w:t>V</w:t>
      </w:r>
      <w:proofErr w:type="spellStart"/>
      <w:r w:rsidRPr="00FA25B2">
        <w:rPr>
          <w:b/>
          <w:bCs/>
          <w:sz w:val="16"/>
          <w:szCs w:val="16"/>
          <w:lang w:val="fr" w:eastAsia="en-US"/>
        </w:rPr>
        <w:t>isuelle</w:t>
      </w:r>
      <w:proofErr w:type="spellEnd"/>
      <w:r w:rsidRPr="00FA25B2">
        <w:rPr>
          <w:b/>
          <w:bCs/>
          <w:sz w:val="16"/>
          <w:szCs w:val="16"/>
          <w:lang w:val="fr" w:eastAsia="en-US"/>
        </w:rPr>
        <w:t xml:space="preserve"> </w:t>
      </w:r>
      <w:r w:rsidRPr="00FA25B2">
        <w:rPr>
          <w:b/>
          <w:bCs/>
          <w:sz w:val="16"/>
          <w:szCs w:val="16"/>
          <w:lang w:eastAsia="en-US"/>
        </w:rPr>
        <w:t>A</w:t>
      </w:r>
      <w:proofErr w:type="spellStart"/>
      <w:r w:rsidRPr="00FA25B2">
        <w:rPr>
          <w:b/>
          <w:bCs/>
          <w:sz w:val="16"/>
          <w:szCs w:val="16"/>
          <w:lang w:val="fr" w:eastAsia="en-US"/>
        </w:rPr>
        <w:t>nalogique</w:t>
      </w:r>
      <w:proofErr w:type="spellEnd"/>
      <w:r w:rsidRPr="00FA25B2">
        <w:rPr>
          <w:b/>
          <w:bCs/>
          <w:sz w:val="16"/>
          <w:szCs w:val="16"/>
          <w:lang w:eastAsia="en-US"/>
        </w:rPr>
        <w:t xml:space="preserve"> (EVA) dessinée</w:t>
      </w:r>
      <w:r w:rsidR="00FA25B2">
        <w:rPr>
          <w:b/>
          <w:bCs/>
          <w:sz w:val="16"/>
          <w:szCs w:val="16"/>
          <w:lang w:eastAsia="en-US"/>
        </w:rPr>
        <w:t xml:space="preserve">             </w:t>
      </w:r>
      <w:r w:rsidR="00FA25B2" w:rsidRPr="00FA25B2">
        <w:rPr>
          <w:b/>
          <w:bCs/>
          <w:sz w:val="16"/>
          <w:szCs w:val="16"/>
          <w:lang w:eastAsia="en-US"/>
        </w:rPr>
        <w:t xml:space="preserve"> </w:t>
      </w:r>
      <w:r w:rsidRPr="00FA25B2">
        <w:rPr>
          <w:b/>
          <w:bCs/>
          <w:sz w:val="16"/>
          <w:szCs w:val="16"/>
          <w:lang w:eastAsia="en-US"/>
        </w:rPr>
        <w:t>Figure 2</w:t>
      </w:r>
      <w:r w:rsidR="00FA25B2" w:rsidRPr="00FA25B2">
        <w:rPr>
          <w:b/>
          <w:bCs/>
          <w:sz w:val="16"/>
          <w:szCs w:val="16"/>
          <w:lang w:eastAsia="en-US"/>
        </w:rPr>
        <w:t xml:space="preserve"> </w:t>
      </w:r>
      <w:r w:rsidRPr="00FA25B2">
        <w:rPr>
          <w:b/>
          <w:bCs/>
          <w:sz w:val="16"/>
          <w:szCs w:val="16"/>
          <w:lang w:eastAsia="en-US"/>
        </w:rPr>
        <w:t>: Échelle</w:t>
      </w:r>
      <w:r w:rsidRPr="00FA25B2">
        <w:rPr>
          <w:b/>
          <w:bCs/>
          <w:sz w:val="16"/>
          <w:szCs w:val="16"/>
          <w:lang w:val="fr" w:eastAsia="en-US"/>
        </w:rPr>
        <w:t xml:space="preserve"> </w:t>
      </w:r>
      <w:r w:rsidRPr="00FA25B2">
        <w:rPr>
          <w:b/>
          <w:bCs/>
          <w:sz w:val="16"/>
          <w:szCs w:val="16"/>
          <w:lang w:eastAsia="en-US"/>
        </w:rPr>
        <w:t>V</w:t>
      </w:r>
      <w:proofErr w:type="spellStart"/>
      <w:r w:rsidRPr="00FA25B2">
        <w:rPr>
          <w:b/>
          <w:bCs/>
          <w:sz w:val="16"/>
          <w:szCs w:val="16"/>
          <w:lang w:val="fr" w:eastAsia="en-US"/>
        </w:rPr>
        <w:t>isuelle</w:t>
      </w:r>
      <w:proofErr w:type="spellEnd"/>
      <w:r w:rsidRPr="00FA25B2">
        <w:rPr>
          <w:b/>
          <w:bCs/>
          <w:sz w:val="16"/>
          <w:szCs w:val="16"/>
          <w:lang w:val="fr" w:eastAsia="en-US"/>
        </w:rPr>
        <w:t xml:space="preserve"> </w:t>
      </w:r>
      <w:r w:rsidRPr="00FA25B2">
        <w:rPr>
          <w:b/>
          <w:bCs/>
          <w:sz w:val="16"/>
          <w:szCs w:val="16"/>
          <w:lang w:eastAsia="en-US"/>
        </w:rPr>
        <w:t>A</w:t>
      </w:r>
      <w:proofErr w:type="spellStart"/>
      <w:r w:rsidRPr="00FA25B2">
        <w:rPr>
          <w:b/>
          <w:bCs/>
          <w:sz w:val="16"/>
          <w:szCs w:val="16"/>
          <w:lang w:val="fr" w:eastAsia="en-US"/>
        </w:rPr>
        <w:t>nalogique</w:t>
      </w:r>
      <w:proofErr w:type="spellEnd"/>
      <w:r w:rsidRPr="00FA25B2">
        <w:rPr>
          <w:b/>
          <w:bCs/>
          <w:sz w:val="16"/>
          <w:szCs w:val="16"/>
          <w:lang w:eastAsia="en-US"/>
        </w:rPr>
        <w:t xml:space="preserve"> (EVA) en bois</w:t>
      </w:r>
    </w:p>
    <w:p w14:paraId="5102BAE4" w14:textId="77777777" w:rsidR="00DB14A1" w:rsidRPr="000C092F" w:rsidRDefault="00000000">
      <w:pPr>
        <w:spacing w:after="11" w:line="23" w:lineRule="atLeast"/>
        <w:ind w:right="360" w:firstLine="0"/>
        <w:jc w:val="left"/>
        <w:rPr>
          <w:b/>
          <w:bCs/>
          <w:sz w:val="32"/>
          <w:szCs w:val="32"/>
          <w:lang w:eastAsia="en-US"/>
        </w:rPr>
      </w:pPr>
      <w:r w:rsidRPr="000C092F">
        <w:rPr>
          <w:b/>
          <w:bCs/>
          <w:sz w:val="32"/>
          <w:szCs w:val="32"/>
          <w:lang w:eastAsia="en-US"/>
        </w:rPr>
        <w:t>Résultats</w:t>
      </w:r>
    </w:p>
    <w:p w14:paraId="70C8976A" w14:textId="5230B593" w:rsidR="00DB14A1" w:rsidRPr="000C092F" w:rsidRDefault="00000000">
      <w:pPr>
        <w:spacing w:line="23" w:lineRule="atLeast"/>
        <w:ind w:firstLine="0"/>
        <w:rPr>
          <w:sz w:val="32"/>
          <w:szCs w:val="32"/>
          <w:lang w:val="fr" w:eastAsia="en-US"/>
        </w:rPr>
      </w:pPr>
      <w:r w:rsidRPr="000C092F">
        <w:rPr>
          <w:sz w:val="32"/>
          <w:szCs w:val="32"/>
          <w:lang w:val="fr" w:eastAsia="en-US"/>
        </w:rPr>
        <w:t>La majorité des personnes interrogées</w:t>
      </w:r>
      <w:r w:rsidRPr="000C092F">
        <w:rPr>
          <w:sz w:val="32"/>
          <w:szCs w:val="32"/>
          <w:lang w:eastAsia="en-US"/>
        </w:rPr>
        <w:t xml:space="preserve"> ont </w:t>
      </w:r>
      <w:r w:rsidRPr="000C092F">
        <w:rPr>
          <w:sz w:val="32"/>
          <w:szCs w:val="32"/>
          <w:lang w:val="fr" w:eastAsia="en-US"/>
        </w:rPr>
        <w:t>déclaré</w:t>
      </w:r>
      <w:r w:rsidRPr="000C092F">
        <w:rPr>
          <w:sz w:val="32"/>
          <w:szCs w:val="32"/>
          <w:lang w:eastAsia="en-US"/>
        </w:rPr>
        <w:t xml:space="preserve"> être en </w:t>
      </w:r>
      <w:r w:rsidRPr="000C092F">
        <w:rPr>
          <w:sz w:val="32"/>
          <w:szCs w:val="32"/>
          <w:lang w:val="fr" w:eastAsia="en-US"/>
        </w:rPr>
        <w:t xml:space="preserve">très bonne ou bonne </w:t>
      </w:r>
      <w:r w:rsidRPr="000C092F">
        <w:rPr>
          <w:sz w:val="32"/>
          <w:szCs w:val="32"/>
          <w:lang w:eastAsia="en-US"/>
        </w:rPr>
        <w:t xml:space="preserve">santé </w:t>
      </w:r>
      <w:r w:rsidRPr="000C092F">
        <w:rPr>
          <w:sz w:val="32"/>
          <w:szCs w:val="32"/>
          <w:lang w:val="fr" w:eastAsia="en-US"/>
        </w:rPr>
        <w:t xml:space="preserve">et </w:t>
      </w:r>
      <w:r w:rsidRPr="000C092F">
        <w:rPr>
          <w:sz w:val="32"/>
          <w:szCs w:val="32"/>
          <w:lang w:eastAsia="en-US"/>
        </w:rPr>
        <w:t xml:space="preserve">ont </w:t>
      </w:r>
      <w:r w:rsidRPr="000C092F">
        <w:rPr>
          <w:sz w:val="32"/>
          <w:szCs w:val="32"/>
          <w:lang w:val="fr" w:eastAsia="en-US"/>
        </w:rPr>
        <w:t>choisi huit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>cubes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>ou plus</w:t>
      </w:r>
      <w:r w:rsidRPr="000C092F">
        <w:rPr>
          <w:sz w:val="32"/>
          <w:szCs w:val="32"/>
          <w:lang w:eastAsia="en-US"/>
        </w:rPr>
        <w:t xml:space="preserve"> de l’</w:t>
      </w:r>
      <w:r w:rsidRPr="000C092F">
        <w:rPr>
          <w:sz w:val="32"/>
          <w:szCs w:val="32"/>
          <w:lang w:val="fr" w:eastAsia="en-US"/>
        </w:rPr>
        <w:t>échelle visuelle analogique</w:t>
      </w:r>
      <w:r w:rsidRPr="000C092F">
        <w:rPr>
          <w:sz w:val="32"/>
          <w:szCs w:val="32"/>
          <w:lang w:eastAsia="en-US"/>
        </w:rPr>
        <w:t xml:space="preserve"> (</w:t>
      </w:r>
      <w:r w:rsidRPr="000C092F">
        <w:rPr>
          <w:sz w:val="32"/>
          <w:szCs w:val="32"/>
          <w:lang w:val="fr" w:eastAsia="en-US"/>
        </w:rPr>
        <w:t>EVA</w:t>
      </w:r>
      <w:r w:rsidRPr="000C092F">
        <w:rPr>
          <w:sz w:val="32"/>
          <w:szCs w:val="32"/>
          <w:lang w:eastAsia="en-US"/>
        </w:rPr>
        <w:t xml:space="preserve">) en bois </w:t>
      </w:r>
      <w:r w:rsidRPr="000C092F">
        <w:rPr>
          <w:sz w:val="32"/>
          <w:szCs w:val="32"/>
          <w:lang w:val="fr" w:eastAsia="en-US"/>
        </w:rPr>
        <w:t>pour décrire leur état de santé</w:t>
      </w:r>
      <w:r w:rsidRPr="000C092F">
        <w:rPr>
          <w:sz w:val="32"/>
          <w:szCs w:val="32"/>
          <w:lang w:eastAsia="en-US"/>
        </w:rPr>
        <w:t xml:space="preserve">. </w:t>
      </w:r>
      <w:r w:rsidRPr="000C092F">
        <w:rPr>
          <w:sz w:val="32"/>
          <w:szCs w:val="32"/>
          <w:lang w:val="fr" w:eastAsia="en-US"/>
        </w:rPr>
        <w:t>Les réponses à la question sur la perception de santé ont montré une prévalence de mauvaise santé de 38,5 % et de 44,2 % avec les deux EVA.</w:t>
      </w:r>
      <w:r w:rsidRPr="000C092F">
        <w:rPr>
          <w:sz w:val="32"/>
          <w:szCs w:val="32"/>
          <w:lang w:eastAsia="en-US"/>
        </w:rPr>
        <w:t xml:space="preserve"> La présence d’une m</w:t>
      </w:r>
      <w:proofErr w:type="spellStart"/>
      <w:r w:rsidRPr="000C092F">
        <w:rPr>
          <w:sz w:val="32"/>
          <w:szCs w:val="32"/>
          <w:lang w:val="fr" w:eastAsia="en-US"/>
        </w:rPr>
        <w:t>aladie</w:t>
      </w:r>
      <w:proofErr w:type="spellEnd"/>
      <w:r w:rsidRPr="000C092F">
        <w:rPr>
          <w:sz w:val="32"/>
          <w:szCs w:val="32"/>
          <w:lang w:val="fr" w:eastAsia="en-US"/>
        </w:rPr>
        <w:t xml:space="preserve"> ou </w:t>
      </w:r>
      <w:r w:rsidRPr="000C092F">
        <w:rPr>
          <w:sz w:val="32"/>
          <w:szCs w:val="32"/>
          <w:lang w:eastAsia="en-US"/>
        </w:rPr>
        <w:t xml:space="preserve">d’une </w:t>
      </w:r>
      <w:r w:rsidRPr="000C092F">
        <w:rPr>
          <w:sz w:val="32"/>
          <w:szCs w:val="32"/>
          <w:lang w:val="fr" w:eastAsia="en-US"/>
        </w:rPr>
        <w:t>affection</w:t>
      </w:r>
      <w:r w:rsidRPr="000C092F">
        <w:rPr>
          <w:sz w:val="32"/>
          <w:szCs w:val="32"/>
          <w:lang w:eastAsia="en-US"/>
        </w:rPr>
        <w:t xml:space="preserve">, sa périodicité, les capacités fonctionnelles, le nombre et les épisodes de maladies au cours de l’année écoulée étaient cruciaux pour l’évaluation de l’état de santé perçu. </w:t>
      </w:r>
      <w:r w:rsidRPr="000C092F">
        <w:rPr>
          <w:sz w:val="32"/>
          <w:szCs w:val="32"/>
          <w:lang w:val="fr" w:eastAsia="en-US"/>
        </w:rPr>
        <w:t xml:space="preserve">La </w:t>
      </w:r>
      <w:r w:rsidRPr="000C092F">
        <w:rPr>
          <w:sz w:val="32"/>
          <w:szCs w:val="32"/>
          <w:lang w:val="fr" w:eastAsia="en-US"/>
        </w:rPr>
        <w:lastRenderedPageBreak/>
        <w:t>corrélation entre les</w:t>
      </w:r>
      <w:r w:rsidRPr="000C092F">
        <w:rPr>
          <w:sz w:val="32"/>
          <w:szCs w:val="32"/>
          <w:lang w:eastAsia="en-US"/>
        </w:rPr>
        <w:t xml:space="preserve"> réponses</w:t>
      </w:r>
      <w:r w:rsidRPr="000C092F">
        <w:rPr>
          <w:sz w:val="32"/>
          <w:szCs w:val="32"/>
          <w:lang w:val="fr" w:eastAsia="en-US"/>
        </w:rPr>
        <w:t xml:space="preserve"> </w:t>
      </w:r>
      <w:r w:rsidRPr="000C092F">
        <w:rPr>
          <w:sz w:val="32"/>
          <w:szCs w:val="32"/>
          <w:lang w:eastAsia="en-US"/>
        </w:rPr>
        <w:t xml:space="preserve">des </w:t>
      </w:r>
      <w:r w:rsidRPr="000C092F">
        <w:rPr>
          <w:sz w:val="32"/>
          <w:szCs w:val="32"/>
          <w:lang w:val="fr" w:eastAsia="en-US"/>
        </w:rPr>
        <w:t>deux échelles visuelle</w:t>
      </w:r>
      <w:r w:rsidRPr="000C092F">
        <w:rPr>
          <w:sz w:val="32"/>
          <w:szCs w:val="32"/>
          <w:lang w:eastAsia="en-US"/>
        </w:rPr>
        <w:t>s</w:t>
      </w:r>
      <w:r w:rsidRPr="000C092F">
        <w:rPr>
          <w:sz w:val="32"/>
          <w:szCs w:val="32"/>
          <w:lang w:val="fr" w:eastAsia="en-US"/>
        </w:rPr>
        <w:t xml:space="preserve"> analogique</w:t>
      </w:r>
      <w:r w:rsidRPr="000C092F">
        <w:rPr>
          <w:sz w:val="32"/>
          <w:szCs w:val="32"/>
          <w:lang w:eastAsia="en-US"/>
        </w:rPr>
        <w:t>s (</w:t>
      </w:r>
      <w:r w:rsidRPr="000C092F">
        <w:rPr>
          <w:sz w:val="32"/>
          <w:szCs w:val="32"/>
          <w:lang w:val="fr" w:eastAsia="en-US"/>
        </w:rPr>
        <w:t>EVA</w:t>
      </w:r>
      <w:r w:rsidRPr="000C092F">
        <w:rPr>
          <w:sz w:val="32"/>
          <w:szCs w:val="32"/>
          <w:lang w:eastAsia="en-US"/>
        </w:rPr>
        <w:t xml:space="preserve">) </w:t>
      </w:r>
      <w:r w:rsidRPr="000C092F">
        <w:rPr>
          <w:sz w:val="32"/>
          <w:szCs w:val="32"/>
          <w:lang w:val="fr" w:eastAsia="en-US"/>
        </w:rPr>
        <w:t>était de 0,89.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 xml:space="preserve">Cependant, les corrélations entre </w:t>
      </w:r>
      <w:r w:rsidRPr="000C092F">
        <w:rPr>
          <w:sz w:val="32"/>
          <w:szCs w:val="32"/>
          <w:lang w:eastAsia="en-US"/>
        </w:rPr>
        <w:t>les réponses au q</w:t>
      </w:r>
      <w:proofErr w:type="spellStart"/>
      <w:r w:rsidRPr="000C092F">
        <w:rPr>
          <w:sz w:val="32"/>
          <w:szCs w:val="32"/>
          <w:lang w:val="fr" w:eastAsia="en-US"/>
        </w:rPr>
        <w:t>uestion</w:t>
      </w:r>
      <w:r w:rsidRPr="000C092F">
        <w:rPr>
          <w:sz w:val="32"/>
          <w:szCs w:val="32"/>
          <w:lang w:eastAsia="en-US"/>
        </w:rPr>
        <w:t>naire</w:t>
      </w:r>
      <w:proofErr w:type="spellEnd"/>
      <w:r w:rsidRPr="000C092F">
        <w:rPr>
          <w:sz w:val="32"/>
          <w:szCs w:val="32"/>
          <w:lang w:eastAsia="en-US"/>
        </w:rPr>
        <w:t xml:space="preserve"> sur la perception de la santé et celles des EVA </w:t>
      </w:r>
      <w:r w:rsidRPr="000C092F">
        <w:rPr>
          <w:sz w:val="32"/>
          <w:szCs w:val="32"/>
          <w:lang w:val="fr" w:eastAsia="en-US"/>
        </w:rPr>
        <w:t>étaient faibles : 0,60 avec l</w:t>
      </w:r>
      <w:r w:rsidRPr="000C092F">
        <w:rPr>
          <w:sz w:val="32"/>
          <w:szCs w:val="32"/>
          <w:lang w:eastAsia="en-US"/>
        </w:rPr>
        <w:t>’</w:t>
      </w:r>
      <w:r w:rsidRPr="000C092F">
        <w:rPr>
          <w:sz w:val="32"/>
          <w:szCs w:val="32"/>
          <w:lang w:val="fr" w:eastAsia="en-US"/>
        </w:rPr>
        <w:t>EVA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>en bois et 0,64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>avec l</w:t>
      </w:r>
      <w:r w:rsidRPr="000C092F">
        <w:rPr>
          <w:sz w:val="32"/>
          <w:szCs w:val="32"/>
          <w:lang w:eastAsia="en-US"/>
        </w:rPr>
        <w:t>’</w:t>
      </w:r>
      <w:r w:rsidRPr="000C092F">
        <w:rPr>
          <w:sz w:val="32"/>
          <w:szCs w:val="32"/>
          <w:lang w:val="fr" w:eastAsia="en-US"/>
        </w:rPr>
        <w:t>EVA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>dessiné</w:t>
      </w:r>
      <w:r w:rsidRPr="000C092F">
        <w:rPr>
          <w:sz w:val="32"/>
          <w:szCs w:val="32"/>
          <w:lang w:eastAsia="en-US"/>
        </w:rPr>
        <w:t>e</w:t>
      </w:r>
      <w:r w:rsidRPr="000C092F">
        <w:rPr>
          <w:sz w:val="32"/>
          <w:szCs w:val="32"/>
          <w:lang w:val="fr" w:eastAsia="en-US"/>
        </w:rPr>
        <w:t>. En général, le nombre de cubes (en bois ou dessinés</w:t>
      </w:r>
      <w:r w:rsidRPr="000C092F">
        <w:rPr>
          <w:sz w:val="32"/>
          <w:szCs w:val="32"/>
          <w:lang w:eastAsia="en-US"/>
        </w:rPr>
        <w:t xml:space="preserve">) choisi </w:t>
      </w:r>
      <w:r w:rsidRPr="000C092F">
        <w:rPr>
          <w:sz w:val="32"/>
          <w:szCs w:val="32"/>
          <w:lang w:val="fr" w:eastAsia="en-US"/>
        </w:rPr>
        <w:t xml:space="preserve">correspondait à la catégorie de </w:t>
      </w:r>
      <w:r w:rsidRPr="000C092F">
        <w:rPr>
          <w:sz w:val="32"/>
          <w:szCs w:val="32"/>
          <w:lang w:eastAsia="en-US"/>
        </w:rPr>
        <w:t xml:space="preserve">la perception de la santé </w:t>
      </w:r>
      <w:r w:rsidRPr="000C092F">
        <w:rPr>
          <w:sz w:val="32"/>
          <w:szCs w:val="32"/>
          <w:lang w:val="fr" w:eastAsia="en-US"/>
        </w:rPr>
        <w:t>choisie. Dix cubes</w:t>
      </w:r>
      <w:r w:rsidRPr="000C092F">
        <w:rPr>
          <w:sz w:val="32"/>
          <w:szCs w:val="32"/>
          <w:lang w:eastAsia="en-US"/>
        </w:rPr>
        <w:t xml:space="preserve"> </w:t>
      </w:r>
      <w:proofErr w:type="spellStart"/>
      <w:r w:rsidRPr="000C092F">
        <w:rPr>
          <w:sz w:val="32"/>
          <w:szCs w:val="32"/>
          <w:lang w:val="fr" w:eastAsia="en-US"/>
        </w:rPr>
        <w:t>correspondai</w:t>
      </w:r>
      <w:proofErr w:type="spellEnd"/>
      <w:r w:rsidRPr="000C092F">
        <w:rPr>
          <w:sz w:val="32"/>
          <w:szCs w:val="32"/>
          <w:lang w:eastAsia="en-US"/>
        </w:rPr>
        <w:t>en</w:t>
      </w:r>
      <w:r w:rsidRPr="000C092F">
        <w:rPr>
          <w:sz w:val="32"/>
          <w:szCs w:val="32"/>
          <w:lang w:val="fr" w:eastAsia="en-US"/>
        </w:rPr>
        <w:t>t à une très bonne santé, 8</w:t>
      </w:r>
      <w:r w:rsidRPr="000C092F">
        <w:rPr>
          <w:sz w:val="32"/>
          <w:szCs w:val="32"/>
          <w:lang w:eastAsia="en-US"/>
        </w:rPr>
        <w:t xml:space="preserve"> à </w:t>
      </w:r>
      <w:r w:rsidRPr="000C092F">
        <w:rPr>
          <w:sz w:val="32"/>
          <w:szCs w:val="32"/>
          <w:lang w:val="fr" w:eastAsia="en-US"/>
        </w:rPr>
        <w:t>9 cubes correspondaient</w:t>
      </w:r>
      <w:r w:rsidRPr="000C092F">
        <w:rPr>
          <w:sz w:val="32"/>
          <w:szCs w:val="32"/>
          <w:lang w:eastAsia="en-US"/>
        </w:rPr>
        <w:t xml:space="preserve"> à une </w:t>
      </w:r>
      <w:r w:rsidRPr="000C092F">
        <w:rPr>
          <w:sz w:val="32"/>
          <w:szCs w:val="32"/>
          <w:lang w:val="fr" w:eastAsia="en-US"/>
        </w:rPr>
        <w:t>bonne santé, 6</w:t>
      </w:r>
      <w:r w:rsidRPr="000C092F">
        <w:rPr>
          <w:sz w:val="32"/>
          <w:szCs w:val="32"/>
          <w:lang w:eastAsia="en-US"/>
        </w:rPr>
        <w:t xml:space="preserve"> à </w:t>
      </w:r>
      <w:r w:rsidRPr="000C092F">
        <w:rPr>
          <w:sz w:val="32"/>
          <w:szCs w:val="32"/>
          <w:lang w:val="fr" w:eastAsia="en-US"/>
        </w:rPr>
        <w:t xml:space="preserve">7 cubes correspondaient à </w:t>
      </w:r>
      <w:r w:rsidRPr="000C092F">
        <w:rPr>
          <w:sz w:val="32"/>
          <w:szCs w:val="32"/>
          <w:lang w:eastAsia="en-US"/>
        </w:rPr>
        <w:t xml:space="preserve">une </w:t>
      </w:r>
      <w:r w:rsidRPr="000C092F">
        <w:rPr>
          <w:sz w:val="32"/>
          <w:szCs w:val="32"/>
          <w:lang w:val="fr" w:eastAsia="en-US"/>
        </w:rPr>
        <w:t>santé</w:t>
      </w:r>
      <w:r w:rsidRPr="000C092F">
        <w:rPr>
          <w:sz w:val="32"/>
          <w:szCs w:val="32"/>
          <w:lang w:eastAsia="en-US"/>
        </w:rPr>
        <w:t xml:space="preserve"> passable</w:t>
      </w:r>
      <w:r w:rsidRPr="000C092F">
        <w:rPr>
          <w:sz w:val="32"/>
          <w:szCs w:val="32"/>
          <w:lang w:val="fr" w:eastAsia="en-US"/>
        </w:rPr>
        <w:t>, et 3</w:t>
      </w:r>
      <w:r w:rsidRPr="000C092F">
        <w:rPr>
          <w:sz w:val="32"/>
          <w:szCs w:val="32"/>
          <w:lang w:eastAsia="en-US"/>
        </w:rPr>
        <w:t xml:space="preserve"> à </w:t>
      </w:r>
      <w:r w:rsidRPr="000C092F">
        <w:rPr>
          <w:sz w:val="32"/>
          <w:szCs w:val="32"/>
          <w:lang w:val="fr" w:eastAsia="en-US"/>
        </w:rPr>
        <w:t>5 cubes correspondaient à une mauvaise santé.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 xml:space="preserve">En raison de la petite taille de l'échantillon, les résultats </w:t>
      </w:r>
      <w:proofErr w:type="spellStart"/>
      <w:r w:rsidRPr="000C092F">
        <w:rPr>
          <w:sz w:val="32"/>
          <w:szCs w:val="32"/>
          <w:lang w:val="fr" w:eastAsia="en-US"/>
        </w:rPr>
        <w:t>d</w:t>
      </w:r>
      <w:r w:rsidRPr="000C092F">
        <w:rPr>
          <w:sz w:val="32"/>
          <w:szCs w:val="32"/>
          <w:lang w:eastAsia="en-US"/>
        </w:rPr>
        <w:t>es</w:t>
      </w:r>
      <w:proofErr w:type="spellEnd"/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>analyses approfondies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>étaient non significatifs et ne permettaient pas de tirer des conclusions</w:t>
      </w:r>
      <w:r w:rsidRPr="000C092F">
        <w:rPr>
          <w:sz w:val="32"/>
          <w:szCs w:val="32"/>
          <w:lang w:eastAsia="en-US"/>
        </w:rPr>
        <w:t xml:space="preserve"> claires</w:t>
      </w:r>
      <w:r w:rsidRPr="000C092F">
        <w:rPr>
          <w:sz w:val="32"/>
          <w:szCs w:val="32"/>
          <w:lang w:val="fr" w:eastAsia="en-US"/>
        </w:rPr>
        <w:t xml:space="preserve"> sur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>la validité d</w:t>
      </w:r>
      <w:r w:rsidRPr="000C092F">
        <w:rPr>
          <w:sz w:val="32"/>
          <w:szCs w:val="32"/>
          <w:lang w:eastAsia="en-US"/>
        </w:rPr>
        <w:t>u q</w:t>
      </w:r>
      <w:proofErr w:type="spellStart"/>
      <w:r w:rsidRPr="000C092F">
        <w:rPr>
          <w:sz w:val="32"/>
          <w:szCs w:val="32"/>
          <w:lang w:val="fr" w:eastAsia="en-US"/>
        </w:rPr>
        <w:t>uestion</w:t>
      </w:r>
      <w:r w:rsidRPr="000C092F">
        <w:rPr>
          <w:sz w:val="32"/>
          <w:szCs w:val="32"/>
          <w:lang w:eastAsia="en-US"/>
        </w:rPr>
        <w:t>naire</w:t>
      </w:r>
      <w:proofErr w:type="spellEnd"/>
      <w:r w:rsidRPr="000C092F">
        <w:rPr>
          <w:sz w:val="32"/>
          <w:szCs w:val="32"/>
          <w:lang w:eastAsia="en-US"/>
        </w:rPr>
        <w:t xml:space="preserve"> sur la perception de la santé et des EVA</w:t>
      </w:r>
      <w:r w:rsidRPr="000C092F">
        <w:rPr>
          <w:sz w:val="32"/>
          <w:szCs w:val="32"/>
          <w:lang w:val="fr" w:eastAsia="en-US"/>
        </w:rPr>
        <w:t>. Comme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 xml:space="preserve">on pouvait s’y attendre, les personnes âgées avaient une </w:t>
      </w:r>
      <w:r w:rsidRPr="000C092F">
        <w:rPr>
          <w:sz w:val="32"/>
          <w:szCs w:val="32"/>
          <w:lang w:eastAsia="en-US"/>
        </w:rPr>
        <w:t xml:space="preserve">santé perçue </w:t>
      </w:r>
      <w:r w:rsidRPr="000C092F">
        <w:rPr>
          <w:sz w:val="32"/>
          <w:szCs w:val="32"/>
          <w:lang w:val="fr" w:eastAsia="en-US"/>
        </w:rPr>
        <w:t>moins bonne que les plus jeunes.</w:t>
      </w:r>
      <w:r w:rsidRPr="000C092F">
        <w:rPr>
          <w:sz w:val="32"/>
          <w:szCs w:val="32"/>
          <w:lang w:eastAsia="en-US"/>
        </w:rPr>
        <w:t xml:space="preserve"> Les </w:t>
      </w:r>
      <w:r w:rsidRPr="000C092F">
        <w:rPr>
          <w:sz w:val="32"/>
          <w:szCs w:val="32"/>
          <w:lang w:val="fr" w:eastAsia="en-US"/>
        </w:rPr>
        <w:t>célibataires avaient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 xml:space="preserve">une </w:t>
      </w:r>
      <w:r w:rsidRPr="000C092F">
        <w:rPr>
          <w:sz w:val="32"/>
          <w:szCs w:val="32"/>
          <w:lang w:eastAsia="en-US"/>
        </w:rPr>
        <w:t xml:space="preserve">perception de santé </w:t>
      </w:r>
      <w:r w:rsidRPr="000C092F">
        <w:rPr>
          <w:sz w:val="32"/>
          <w:szCs w:val="32"/>
          <w:lang w:val="fr" w:eastAsia="en-US"/>
        </w:rPr>
        <w:t xml:space="preserve">plus </w:t>
      </w:r>
      <w:r w:rsidRPr="000C092F">
        <w:rPr>
          <w:sz w:val="32"/>
          <w:szCs w:val="32"/>
          <w:lang w:eastAsia="en-US"/>
        </w:rPr>
        <w:t xml:space="preserve">mauvaise </w:t>
      </w:r>
      <w:r w:rsidRPr="000C092F">
        <w:rPr>
          <w:sz w:val="32"/>
          <w:szCs w:val="32"/>
          <w:lang w:val="fr" w:eastAsia="en-US"/>
        </w:rPr>
        <w:t xml:space="preserve">que </w:t>
      </w:r>
      <w:r w:rsidRPr="000C092F">
        <w:rPr>
          <w:sz w:val="32"/>
          <w:szCs w:val="32"/>
          <w:lang w:eastAsia="en-US"/>
        </w:rPr>
        <w:t>les marié-e-s. Les personnes atteintes de</w:t>
      </w:r>
      <w:r w:rsidRPr="000C092F">
        <w:rPr>
          <w:sz w:val="32"/>
          <w:szCs w:val="32"/>
          <w:lang w:val="fr" w:eastAsia="en-US"/>
        </w:rPr>
        <w:t xml:space="preserve"> maladies chroniques avaient une </w:t>
      </w:r>
      <w:r w:rsidRPr="000C092F">
        <w:rPr>
          <w:sz w:val="32"/>
          <w:szCs w:val="32"/>
          <w:lang w:eastAsia="en-US"/>
        </w:rPr>
        <w:t xml:space="preserve">perception de santé </w:t>
      </w:r>
      <w:r w:rsidRPr="000C092F">
        <w:rPr>
          <w:sz w:val="32"/>
          <w:szCs w:val="32"/>
          <w:lang w:val="fr" w:eastAsia="en-US"/>
        </w:rPr>
        <w:t>moins bonne que les</w:t>
      </w:r>
      <w:r w:rsidRPr="000C092F">
        <w:rPr>
          <w:sz w:val="32"/>
          <w:szCs w:val="32"/>
          <w:lang w:eastAsia="en-US"/>
        </w:rPr>
        <w:t xml:space="preserve"> autres</w:t>
      </w:r>
      <w:r w:rsidRPr="000C092F">
        <w:rPr>
          <w:sz w:val="32"/>
          <w:szCs w:val="32"/>
          <w:lang w:val="fr" w:eastAsia="en-US"/>
        </w:rPr>
        <w:t>. Cependant, contre toute attente, les hommes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 xml:space="preserve">avaient une </w:t>
      </w:r>
      <w:r w:rsidRPr="000C092F">
        <w:rPr>
          <w:sz w:val="32"/>
          <w:szCs w:val="32"/>
          <w:lang w:eastAsia="en-US"/>
        </w:rPr>
        <w:t xml:space="preserve">perception de santé </w:t>
      </w:r>
      <w:r w:rsidRPr="000C092F">
        <w:rPr>
          <w:sz w:val="32"/>
          <w:szCs w:val="32"/>
          <w:lang w:val="fr" w:eastAsia="en-US"/>
        </w:rPr>
        <w:t>moins bonne que les femmes</w:t>
      </w:r>
      <w:r w:rsidRPr="000C092F">
        <w:rPr>
          <w:sz w:val="32"/>
          <w:szCs w:val="32"/>
          <w:lang w:eastAsia="en-US"/>
        </w:rPr>
        <w:t>,</w:t>
      </w:r>
      <w:r w:rsidRPr="000C092F">
        <w:rPr>
          <w:sz w:val="32"/>
          <w:szCs w:val="32"/>
          <w:lang w:val="fr" w:eastAsia="en-US"/>
        </w:rPr>
        <w:t xml:space="preserve"> les </w:t>
      </w:r>
      <w:r w:rsidRPr="000C092F">
        <w:rPr>
          <w:sz w:val="32"/>
          <w:szCs w:val="32"/>
          <w:lang w:eastAsia="en-US"/>
        </w:rPr>
        <w:t xml:space="preserve">personnes instruites </w:t>
      </w:r>
      <w:r w:rsidRPr="000C092F">
        <w:rPr>
          <w:sz w:val="32"/>
          <w:szCs w:val="32"/>
          <w:lang w:val="fr" w:eastAsia="en-US"/>
        </w:rPr>
        <w:t xml:space="preserve">et </w:t>
      </w:r>
      <w:r w:rsidRPr="000C092F">
        <w:rPr>
          <w:sz w:val="32"/>
          <w:szCs w:val="32"/>
          <w:lang w:eastAsia="en-US"/>
        </w:rPr>
        <w:t xml:space="preserve">celles </w:t>
      </w:r>
      <w:r w:rsidRPr="000C092F">
        <w:rPr>
          <w:sz w:val="32"/>
          <w:szCs w:val="32"/>
          <w:lang w:val="fr" w:eastAsia="en-US"/>
        </w:rPr>
        <w:lastRenderedPageBreak/>
        <w:t xml:space="preserve">qui ont fait des études supérieures avaient une </w:t>
      </w:r>
      <w:r w:rsidRPr="000C092F">
        <w:rPr>
          <w:sz w:val="32"/>
          <w:szCs w:val="32"/>
          <w:lang w:eastAsia="en-US"/>
        </w:rPr>
        <w:t xml:space="preserve">perception de santé </w:t>
      </w:r>
      <w:r w:rsidRPr="000C092F">
        <w:rPr>
          <w:sz w:val="32"/>
          <w:szCs w:val="32"/>
          <w:lang w:val="fr" w:eastAsia="en-US"/>
        </w:rPr>
        <w:t>moins bonne que</w:t>
      </w:r>
      <w:r w:rsidRPr="000C092F">
        <w:rPr>
          <w:sz w:val="32"/>
          <w:szCs w:val="32"/>
          <w:lang w:eastAsia="en-US"/>
        </w:rPr>
        <w:t xml:space="preserve"> </w:t>
      </w:r>
      <w:proofErr w:type="spellStart"/>
      <w:r w:rsidRPr="000C092F">
        <w:rPr>
          <w:sz w:val="32"/>
          <w:szCs w:val="32"/>
          <w:lang w:val="fr" w:eastAsia="en-US"/>
        </w:rPr>
        <w:t>le</w:t>
      </w:r>
      <w:r w:rsidRPr="000C092F">
        <w:rPr>
          <w:sz w:val="32"/>
          <w:szCs w:val="32"/>
          <w:lang w:eastAsia="en-US"/>
        </w:rPr>
        <w:t>s</w:t>
      </w:r>
      <w:proofErr w:type="spellEnd"/>
      <w:r w:rsidRPr="000C092F">
        <w:rPr>
          <w:sz w:val="32"/>
          <w:szCs w:val="32"/>
          <w:lang w:eastAsia="en-US"/>
        </w:rPr>
        <w:t xml:space="preserve"> autres</w:t>
      </w:r>
      <w:r w:rsidRPr="000C092F">
        <w:rPr>
          <w:sz w:val="32"/>
          <w:szCs w:val="32"/>
          <w:lang w:val="fr" w:eastAsia="en-US"/>
        </w:rPr>
        <w:t>.</w:t>
      </w:r>
    </w:p>
    <w:p w14:paraId="5A65AE80" w14:textId="77777777" w:rsidR="00DB14A1" w:rsidRPr="000C092F" w:rsidRDefault="00000000" w:rsidP="0039784D">
      <w:pPr>
        <w:spacing w:line="23" w:lineRule="atLeast"/>
        <w:ind w:firstLine="0"/>
        <w:rPr>
          <w:sz w:val="32"/>
          <w:szCs w:val="32"/>
          <w:lang w:val="fr" w:eastAsia="en-US"/>
        </w:rPr>
      </w:pPr>
      <w:r w:rsidRPr="000C092F">
        <w:rPr>
          <w:sz w:val="32"/>
          <w:szCs w:val="32"/>
          <w:lang w:val="fr" w:eastAsia="en-US"/>
        </w:rPr>
        <w:t xml:space="preserve">L'analyse des récits a confirmé que </w:t>
      </w:r>
      <w:r w:rsidRPr="000C092F">
        <w:rPr>
          <w:sz w:val="32"/>
          <w:szCs w:val="32"/>
          <w:lang w:eastAsia="en-US"/>
        </w:rPr>
        <w:t xml:space="preserve">le questionnaire de perception de santé utilisé était </w:t>
      </w:r>
      <w:r w:rsidRPr="000C092F">
        <w:rPr>
          <w:sz w:val="32"/>
          <w:szCs w:val="32"/>
          <w:lang w:val="fr" w:eastAsia="en-US"/>
        </w:rPr>
        <w:t xml:space="preserve">culturellement </w:t>
      </w:r>
      <w:r w:rsidRPr="000C092F">
        <w:rPr>
          <w:sz w:val="32"/>
          <w:szCs w:val="32"/>
          <w:lang w:eastAsia="en-US"/>
        </w:rPr>
        <w:t xml:space="preserve">adapté, car les questions ont été comprises par les répondants. </w:t>
      </w:r>
      <w:r w:rsidRPr="000C092F">
        <w:rPr>
          <w:sz w:val="32"/>
          <w:szCs w:val="32"/>
          <w:lang w:val="fr" w:eastAsia="en-US"/>
        </w:rPr>
        <w:t>Nos répondants</w:t>
      </w:r>
      <w:r w:rsidRPr="000C092F">
        <w:rPr>
          <w:sz w:val="32"/>
          <w:szCs w:val="32"/>
          <w:lang w:eastAsia="en-US"/>
        </w:rPr>
        <w:t xml:space="preserve"> ont </w:t>
      </w:r>
      <w:r w:rsidRPr="000C092F">
        <w:rPr>
          <w:sz w:val="32"/>
          <w:szCs w:val="32"/>
          <w:lang w:val="fr" w:eastAsia="en-US"/>
        </w:rPr>
        <w:t>évalué à la fois le</w:t>
      </w:r>
      <w:proofErr w:type="spellStart"/>
      <w:r w:rsidRPr="000C092F">
        <w:rPr>
          <w:sz w:val="32"/>
          <w:szCs w:val="32"/>
          <w:lang w:eastAsia="en-US"/>
        </w:rPr>
        <w:t>ur</w:t>
      </w:r>
      <w:proofErr w:type="spellEnd"/>
      <w:r w:rsidRPr="000C092F">
        <w:rPr>
          <w:sz w:val="32"/>
          <w:szCs w:val="32"/>
          <w:lang w:eastAsia="en-US"/>
        </w:rPr>
        <w:t xml:space="preserve"> santé</w:t>
      </w:r>
      <w:r w:rsidRPr="000C092F">
        <w:rPr>
          <w:sz w:val="32"/>
          <w:szCs w:val="32"/>
          <w:lang w:val="fr" w:eastAsia="en-US"/>
        </w:rPr>
        <w:t xml:space="preserve"> passé</w:t>
      </w:r>
      <w:r w:rsidRPr="000C092F">
        <w:rPr>
          <w:sz w:val="32"/>
          <w:szCs w:val="32"/>
          <w:lang w:eastAsia="en-US"/>
        </w:rPr>
        <w:t>e</w:t>
      </w:r>
      <w:r w:rsidRPr="000C092F">
        <w:rPr>
          <w:sz w:val="32"/>
          <w:szCs w:val="32"/>
          <w:lang w:val="fr" w:eastAsia="en-US"/>
        </w:rPr>
        <w:t xml:space="preserve"> </w:t>
      </w:r>
      <w:r w:rsidRPr="000C092F">
        <w:rPr>
          <w:sz w:val="32"/>
          <w:szCs w:val="32"/>
          <w:lang w:eastAsia="en-US"/>
        </w:rPr>
        <w:t>et</w:t>
      </w:r>
      <w:r w:rsidRPr="000C092F">
        <w:rPr>
          <w:sz w:val="32"/>
          <w:szCs w:val="32"/>
          <w:lang w:val="fr" w:eastAsia="en-US"/>
        </w:rPr>
        <w:t xml:space="preserve"> présent</w:t>
      </w:r>
      <w:r w:rsidRPr="000C092F">
        <w:rPr>
          <w:sz w:val="32"/>
          <w:szCs w:val="32"/>
          <w:lang w:eastAsia="en-US"/>
        </w:rPr>
        <w:t>e</w:t>
      </w:r>
      <w:r w:rsidRPr="000C092F">
        <w:rPr>
          <w:sz w:val="32"/>
          <w:szCs w:val="32"/>
          <w:lang w:val="fr" w:eastAsia="en-US"/>
        </w:rPr>
        <w:t>, mais</w:t>
      </w:r>
      <w:r w:rsidRPr="000C092F">
        <w:rPr>
          <w:sz w:val="32"/>
          <w:szCs w:val="32"/>
          <w:lang w:eastAsia="en-US"/>
        </w:rPr>
        <w:t xml:space="preserve"> ils se sont</w:t>
      </w:r>
      <w:r w:rsidRPr="000C092F">
        <w:rPr>
          <w:sz w:val="32"/>
          <w:szCs w:val="32"/>
          <w:lang w:val="fr" w:eastAsia="en-US"/>
        </w:rPr>
        <w:t xml:space="preserve"> concentré</w:t>
      </w:r>
      <w:r w:rsidRPr="000C092F">
        <w:rPr>
          <w:sz w:val="32"/>
          <w:szCs w:val="32"/>
          <w:lang w:eastAsia="en-US"/>
        </w:rPr>
        <w:t xml:space="preserve">s </w:t>
      </w:r>
      <w:r w:rsidRPr="000C092F">
        <w:rPr>
          <w:sz w:val="32"/>
          <w:szCs w:val="32"/>
          <w:lang w:val="fr" w:eastAsia="en-US"/>
        </w:rPr>
        <w:t xml:space="preserve">principalement sur </w:t>
      </w:r>
      <w:r w:rsidRPr="000C092F">
        <w:rPr>
          <w:sz w:val="32"/>
          <w:szCs w:val="32"/>
          <w:lang w:eastAsia="en-US"/>
        </w:rPr>
        <w:t xml:space="preserve">leur </w:t>
      </w:r>
      <w:r w:rsidRPr="000C092F">
        <w:rPr>
          <w:sz w:val="32"/>
          <w:szCs w:val="32"/>
          <w:lang w:val="fr" w:eastAsia="en-US"/>
        </w:rPr>
        <w:t>santé physique, comme les répondants d</w:t>
      </w:r>
      <w:r w:rsidRPr="000C092F">
        <w:rPr>
          <w:sz w:val="32"/>
          <w:szCs w:val="32"/>
          <w:lang w:eastAsia="en-US"/>
        </w:rPr>
        <w:t xml:space="preserve">’autres études antérieures qui </w:t>
      </w:r>
      <w:r w:rsidRPr="000C092F">
        <w:rPr>
          <w:sz w:val="32"/>
          <w:szCs w:val="32"/>
          <w:lang w:val="fr" w:eastAsia="en-US"/>
        </w:rPr>
        <w:t>ont été réalisées ailleurs (</w:t>
      </w:r>
      <w:r w:rsidRPr="000C092F">
        <w:rPr>
          <w:sz w:val="32"/>
          <w:szCs w:val="32"/>
          <w:lang w:eastAsia="en-US"/>
        </w:rPr>
        <w:t>Simon et al.; 200</w:t>
      </w:r>
      <w:r w:rsidRPr="000C092F">
        <w:rPr>
          <w:sz w:val="32"/>
          <w:szCs w:val="32"/>
          <w:lang w:val="fr" w:eastAsia="en-US"/>
        </w:rPr>
        <w:t xml:space="preserve">5). En revanche, </w:t>
      </w:r>
      <w:r w:rsidRPr="000C092F">
        <w:rPr>
          <w:sz w:val="32"/>
          <w:szCs w:val="32"/>
          <w:lang w:eastAsia="en-US"/>
        </w:rPr>
        <w:t>la compréhension des EVA n’était pas évidente</w:t>
      </w:r>
      <w:r w:rsidRPr="000C092F">
        <w:rPr>
          <w:sz w:val="32"/>
          <w:szCs w:val="32"/>
          <w:lang w:val="fr" w:eastAsia="en-US"/>
        </w:rPr>
        <w:t>.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>Certaines personnes ont mal compris</w:t>
      </w:r>
      <w:r w:rsidRPr="000C092F">
        <w:rPr>
          <w:sz w:val="32"/>
          <w:szCs w:val="32"/>
          <w:lang w:eastAsia="en-US"/>
        </w:rPr>
        <w:t xml:space="preserve"> ces outils. Par exemple, certains mettaient les 10 cubes pour montrer qu’ils peuvent le faire.</w:t>
      </w:r>
      <w:r w:rsidRPr="000C092F">
        <w:rPr>
          <w:sz w:val="32"/>
          <w:szCs w:val="32"/>
          <w:lang w:val="fr" w:eastAsia="en-US"/>
        </w:rPr>
        <w:t xml:space="preserve"> </w:t>
      </w:r>
      <w:r w:rsidRPr="000C092F">
        <w:rPr>
          <w:sz w:val="32"/>
          <w:szCs w:val="32"/>
          <w:lang w:eastAsia="en-US"/>
        </w:rPr>
        <w:t>Certains</w:t>
      </w:r>
      <w:r w:rsidRPr="000C092F">
        <w:rPr>
          <w:sz w:val="32"/>
          <w:szCs w:val="32"/>
          <w:lang w:val="fr" w:eastAsia="en-US"/>
        </w:rPr>
        <w:t xml:space="preserve"> </w:t>
      </w:r>
      <w:proofErr w:type="spellStart"/>
      <w:r w:rsidRPr="000C092F">
        <w:rPr>
          <w:sz w:val="32"/>
          <w:szCs w:val="32"/>
          <w:lang w:val="fr" w:eastAsia="en-US"/>
        </w:rPr>
        <w:t>dériv</w:t>
      </w:r>
      <w:proofErr w:type="spellEnd"/>
      <w:r w:rsidRPr="000C092F">
        <w:rPr>
          <w:sz w:val="32"/>
          <w:szCs w:val="32"/>
          <w:lang w:eastAsia="en-US"/>
        </w:rPr>
        <w:t>aient</w:t>
      </w:r>
      <w:r w:rsidRPr="000C092F">
        <w:rPr>
          <w:sz w:val="32"/>
          <w:szCs w:val="32"/>
          <w:lang w:val="fr" w:eastAsia="en-US"/>
        </w:rPr>
        <w:t xml:space="preserve"> mathématiquement la réponse en soustrayant leurs épisodes de maladie</w:t>
      </w:r>
      <w:r w:rsidRPr="000C092F">
        <w:rPr>
          <w:sz w:val="32"/>
          <w:szCs w:val="32"/>
          <w:lang w:eastAsia="en-US"/>
        </w:rPr>
        <w:t>s</w:t>
      </w:r>
      <w:r w:rsidRPr="000C092F">
        <w:rPr>
          <w:sz w:val="32"/>
          <w:szCs w:val="32"/>
          <w:lang w:val="fr" w:eastAsia="en-US"/>
        </w:rPr>
        <w:t xml:space="preserve"> ou d'affection</w:t>
      </w:r>
      <w:r w:rsidRPr="000C092F">
        <w:rPr>
          <w:sz w:val="32"/>
          <w:szCs w:val="32"/>
          <w:lang w:eastAsia="en-US"/>
        </w:rPr>
        <w:t>s</w:t>
      </w:r>
      <w:r w:rsidRPr="000C092F">
        <w:rPr>
          <w:sz w:val="32"/>
          <w:szCs w:val="32"/>
          <w:lang w:val="fr" w:eastAsia="en-US"/>
        </w:rPr>
        <w:t xml:space="preserve"> </w:t>
      </w:r>
      <w:r w:rsidRPr="000C092F">
        <w:rPr>
          <w:sz w:val="32"/>
          <w:szCs w:val="32"/>
          <w:lang w:eastAsia="en-US"/>
        </w:rPr>
        <w:t>des</w:t>
      </w:r>
      <w:r w:rsidRPr="000C092F">
        <w:rPr>
          <w:sz w:val="32"/>
          <w:szCs w:val="32"/>
          <w:lang w:val="fr" w:eastAsia="en-US"/>
        </w:rPr>
        <w:t xml:space="preserve"> 10 cubes.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 xml:space="preserve">En raison </w:t>
      </w:r>
      <w:proofErr w:type="spellStart"/>
      <w:r w:rsidRPr="000C092F">
        <w:rPr>
          <w:sz w:val="32"/>
          <w:szCs w:val="32"/>
          <w:lang w:val="fr" w:eastAsia="en-US"/>
        </w:rPr>
        <w:t>de</w:t>
      </w:r>
      <w:r w:rsidRPr="000C092F">
        <w:rPr>
          <w:sz w:val="32"/>
          <w:szCs w:val="32"/>
          <w:lang w:eastAsia="en-US"/>
        </w:rPr>
        <w:t>s</w:t>
      </w:r>
      <w:proofErr w:type="spellEnd"/>
      <w:r w:rsidRPr="000C092F">
        <w:rPr>
          <w:sz w:val="32"/>
          <w:szCs w:val="32"/>
          <w:lang w:val="fr" w:eastAsia="en-US"/>
        </w:rPr>
        <w:t xml:space="preserve"> valeurs aberrantes, </w:t>
      </w:r>
      <w:r w:rsidRPr="000C092F">
        <w:rPr>
          <w:sz w:val="32"/>
          <w:szCs w:val="32"/>
          <w:lang w:eastAsia="en-US"/>
        </w:rPr>
        <w:t xml:space="preserve">ces deux outils </w:t>
      </w:r>
      <w:r w:rsidRPr="000C092F">
        <w:rPr>
          <w:sz w:val="32"/>
          <w:szCs w:val="32"/>
          <w:lang w:val="fr" w:eastAsia="en-US"/>
        </w:rPr>
        <w:t>n’</w:t>
      </w:r>
      <w:proofErr w:type="spellStart"/>
      <w:r w:rsidRPr="000C092F">
        <w:rPr>
          <w:sz w:val="32"/>
          <w:szCs w:val="32"/>
          <w:lang w:val="fr" w:eastAsia="en-US"/>
        </w:rPr>
        <w:t>étai</w:t>
      </w:r>
      <w:r w:rsidRPr="000C092F">
        <w:rPr>
          <w:sz w:val="32"/>
          <w:szCs w:val="32"/>
          <w:lang w:eastAsia="en-US"/>
        </w:rPr>
        <w:t>ent</w:t>
      </w:r>
      <w:proofErr w:type="spellEnd"/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>pas pleinement applicable</w:t>
      </w:r>
      <w:r w:rsidRPr="000C092F">
        <w:rPr>
          <w:sz w:val="32"/>
          <w:szCs w:val="32"/>
          <w:lang w:eastAsia="en-US"/>
        </w:rPr>
        <w:t>s</w:t>
      </w:r>
      <w:r w:rsidRPr="000C092F">
        <w:rPr>
          <w:sz w:val="32"/>
          <w:szCs w:val="32"/>
          <w:lang w:val="fr" w:eastAsia="en-US"/>
        </w:rPr>
        <w:t xml:space="preserve"> au niveau individuel.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 xml:space="preserve">Une autre limite </w:t>
      </w:r>
      <w:r w:rsidRPr="000C092F">
        <w:rPr>
          <w:sz w:val="32"/>
          <w:szCs w:val="32"/>
          <w:lang w:eastAsia="en-US"/>
        </w:rPr>
        <w:t xml:space="preserve">des EVA </w:t>
      </w:r>
      <w:r w:rsidRPr="000C092F">
        <w:rPr>
          <w:sz w:val="32"/>
          <w:szCs w:val="32"/>
          <w:lang w:val="fr" w:eastAsia="en-US"/>
        </w:rPr>
        <w:t>était le temps d’administration.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 xml:space="preserve">L'administration de la question </w:t>
      </w:r>
      <w:r w:rsidRPr="000C092F">
        <w:rPr>
          <w:sz w:val="32"/>
          <w:szCs w:val="32"/>
          <w:lang w:eastAsia="en-US"/>
        </w:rPr>
        <w:t xml:space="preserve">sur la perception de santé </w:t>
      </w:r>
      <w:r w:rsidRPr="000C092F">
        <w:rPr>
          <w:sz w:val="32"/>
          <w:szCs w:val="32"/>
          <w:lang w:val="fr" w:eastAsia="en-US"/>
        </w:rPr>
        <w:t>prend en moyenne</w:t>
      </w:r>
      <w:r w:rsidRPr="000C092F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val="fr" w:eastAsia="en-US"/>
        </w:rPr>
        <w:t>15 secondes</w:t>
      </w:r>
      <w:r w:rsidRPr="000C092F">
        <w:rPr>
          <w:sz w:val="32"/>
          <w:szCs w:val="32"/>
          <w:lang w:eastAsia="en-US"/>
        </w:rPr>
        <w:t xml:space="preserve"> alors que les </w:t>
      </w:r>
      <w:r w:rsidRPr="000C092F">
        <w:rPr>
          <w:sz w:val="32"/>
          <w:szCs w:val="32"/>
          <w:lang w:val="fr" w:eastAsia="en-US"/>
        </w:rPr>
        <w:t xml:space="preserve">deux </w:t>
      </w:r>
      <w:r w:rsidRPr="000C092F">
        <w:rPr>
          <w:sz w:val="32"/>
          <w:szCs w:val="32"/>
          <w:lang w:eastAsia="en-US"/>
        </w:rPr>
        <w:t xml:space="preserve">EVA </w:t>
      </w:r>
      <w:r w:rsidRPr="000C092F">
        <w:rPr>
          <w:sz w:val="32"/>
          <w:szCs w:val="32"/>
          <w:lang w:val="fr" w:eastAsia="en-US"/>
        </w:rPr>
        <w:t>ont nécessité près de 3 minutes</w:t>
      </w:r>
      <w:r w:rsidRPr="000C092F">
        <w:rPr>
          <w:sz w:val="32"/>
          <w:szCs w:val="32"/>
          <w:lang w:eastAsia="en-US"/>
        </w:rPr>
        <w:t xml:space="preserve"> chacune</w:t>
      </w:r>
      <w:r w:rsidRPr="000C092F">
        <w:rPr>
          <w:sz w:val="32"/>
          <w:szCs w:val="32"/>
          <w:lang w:val="fr" w:eastAsia="en-US"/>
        </w:rPr>
        <w:t xml:space="preserve">. </w:t>
      </w:r>
    </w:p>
    <w:p w14:paraId="09E43B0C" w14:textId="77777777" w:rsidR="00DB14A1" w:rsidRPr="000C092F" w:rsidRDefault="00000000">
      <w:pPr>
        <w:spacing w:after="11" w:line="276" w:lineRule="auto"/>
        <w:ind w:right="363" w:firstLine="0"/>
        <w:jc w:val="left"/>
        <w:rPr>
          <w:b/>
          <w:bCs/>
          <w:sz w:val="32"/>
          <w:szCs w:val="32"/>
          <w:lang w:eastAsia="en-US"/>
        </w:rPr>
      </w:pPr>
      <w:r w:rsidRPr="000C092F">
        <w:rPr>
          <w:b/>
          <w:bCs/>
          <w:sz w:val="32"/>
          <w:szCs w:val="32"/>
          <w:lang w:eastAsia="en-US"/>
        </w:rPr>
        <w:t>Conclusion</w:t>
      </w:r>
    </w:p>
    <w:p w14:paraId="13B9E6F8" w14:textId="77777777" w:rsidR="00DB14A1" w:rsidRDefault="00000000">
      <w:pPr>
        <w:spacing w:after="11" w:line="276" w:lineRule="auto"/>
        <w:ind w:right="363" w:firstLine="0"/>
        <w:rPr>
          <w:sz w:val="32"/>
          <w:szCs w:val="32"/>
          <w:lang w:val="fr" w:eastAsia="en-US"/>
        </w:rPr>
      </w:pPr>
      <w:r w:rsidRPr="000C092F">
        <w:rPr>
          <w:sz w:val="32"/>
          <w:szCs w:val="32"/>
          <w:lang w:val="fr" w:eastAsia="en-US"/>
        </w:rPr>
        <w:lastRenderedPageBreak/>
        <w:t xml:space="preserve">Dans ce projet pilote, nous avons développé et testé une nouvelle version de la question </w:t>
      </w:r>
      <w:r w:rsidRPr="000C092F">
        <w:rPr>
          <w:sz w:val="32"/>
          <w:szCs w:val="32"/>
          <w:lang w:eastAsia="en-US"/>
        </w:rPr>
        <w:t xml:space="preserve">relative à la santé perçue </w:t>
      </w:r>
      <w:r w:rsidRPr="000C092F">
        <w:rPr>
          <w:sz w:val="32"/>
          <w:szCs w:val="32"/>
          <w:lang w:val="fr" w:eastAsia="en-US"/>
        </w:rPr>
        <w:t xml:space="preserve">qui </w:t>
      </w:r>
      <w:r w:rsidRPr="000C092F">
        <w:rPr>
          <w:sz w:val="32"/>
          <w:szCs w:val="32"/>
          <w:lang w:eastAsia="en-US"/>
        </w:rPr>
        <w:t xml:space="preserve">soit </w:t>
      </w:r>
      <w:r w:rsidRPr="000C092F">
        <w:rPr>
          <w:sz w:val="32"/>
          <w:szCs w:val="32"/>
          <w:lang w:val="fr" w:eastAsia="en-US"/>
        </w:rPr>
        <w:t xml:space="preserve">culturellement </w:t>
      </w:r>
      <w:r w:rsidRPr="000C092F">
        <w:rPr>
          <w:sz w:val="32"/>
          <w:szCs w:val="32"/>
          <w:lang w:eastAsia="en-US"/>
        </w:rPr>
        <w:t>plus adaptée. Cependant,</w:t>
      </w:r>
      <w:r w:rsidRPr="000C092F">
        <w:rPr>
          <w:sz w:val="32"/>
          <w:szCs w:val="32"/>
          <w:lang w:val="fr" w:eastAsia="en-US"/>
        </w:rPr>
        <w:t xml:space="preserve"> </w:t>
      </w:r>
      <w:proofErr w:type="spellStart"/>
      <w:r w:rsidRPr="000C092F">
        <w:rPr>
          <w:sz w:val="32"/>
          <w:szCs w:val="32"/>
          <w:lang w:eastAsia="en-US"/>
        </w:rPr>
        <w:t>u</w:t>
      </w:r>
      <w:r w:rsidRPr="000C092F">
        <w:rPr>
          <w:sz w:val="32"/>
          <w:szCs w:val="32"/>
          <w:lang w:val="fr" w:eastAsia="en-US"/>
        </w:rPr>
        <w:t>n</w:t>
      </w:r>
      <w:proofErr w:type="spellEnd"/>
      <w:r w:rsidRPr="000C092F">
        <w:rPr>
          <w:sz w:val="32"/>
          <w:szCs w:val="32"/>
          <w:lang w:val="fr" w:eastAsia="en-US"/>
        </w:rPr>
        <w:t xml:space="preserve"> échantillon plus large est nécessaire pour étudier plus en profondeur la validité et</w:t>
      </w:r>
      <w:r w:rsidRPr="000C092F">
        <w:rPr>
          <w:sz w:val="32"/>
          <w:szCs w:val="32"/>
          <w:lang w:eastAsia="en-US"/>
        </w:rPr>
        <w:t xml:space="preserve"> la </w:t>
      </w:r>
      <w:r w:rsidRPr="000C092F">
        <w:rPr>
          <w:sz w:val="32"/>
          <w:szCs w:val="32"/>
          <w:lang w:val="fr" w:eastAsia="en-US"/>
        </w:rPr>
        <w:t xml:space="preserve">fiabilité de </w:t>
      </w:r>
      <w:r w:rsidRPr="000C092F">
        <w:rPr>
          <w:sz w:val="32"/>
          <w:szCs w:val="32"/>
          <w:lang w:eastAsia="en-US"/>
        </w:rPr>
        <w:t>ces instruments pour l’étude de la perception de santé</w:t>
      </w:r>
      <w:r w:rsidRPr="000C092F">
        <w:rPr>
          <w:sz w:val="32"/>
          <w:szCs w:val="32"/>
          <w:lang w:val="fr" w:eastAsia="en-US"/>
        </w:rPr>
        <w:t xml:space="preserve"> et comprendre quel instrument est le mieux adapté pour étudier la </w:t>
      </w:r>
      <w:r w:rsidRPr="000C092F">
        <w:rPr>
          <w:sz w:val="32"/>
          <w:szCs w:val="32"/>
          <w:lang w:eastAsia="en-US"/>
        </w:rPr>
        <w:t>perception de santé</w:t>
      </w:r>
      <w:r w:rsidRPr="000C092F">
        <w:rPr>
          <w:sz w:val="32"/>
          <w:szCs w:val="32"/>
          <w:lang w:val="fr" w:eastAsia="en-US"/>
        </w:rPr>
        <w:t xml:space="preserve"> en</w:t>
      </w:r>
      <w:r w:rsidRPr="000C092F">
        <w:rPr>
          <w:sz w:val="32"/>
          <w:szCs w:val="32"/>
          <w:lang w:eastAsia="en-US"/>
        </w:rPr>
        <w:t xml:space="preserve"> contexte de </w:t>
      </w:r>
      <w:r w:rsidRPr="000C092F">
        <w:rPr>
          <w:sz w:val="32"/>
          <w:szCs w:val="32"/>
          <w:lang w:val="fr" w:eastAsia="en-US"/>
        </w:rPr>
        <w:t>faible</w:t>
      </w:r>
      <w:r w:rsidRPr="000C092F">
        <w:rPr>
          <w:sz w:val="32"/>
          <w:szCs w:val="32"/>
          <w:lang w:eastAsia="en-US"/>
        </w:rPr>
        <w:t>s</w:t>
      </w:r>
      <w:r w:rsidRPr="000C092F">
        <w:rPr>
          <w:sz w:val="32"/>
          <w:szCs w:val="32"/>
          <w:lang w:val="fr" w:eastAsia="en-US"/>
        </w:rPr>
        <w:t xml:space="preserve"> revenu</w:t>
      </w:r>
      <w:r w:rsidRPr="000C092F">
        <w:rPr>
          <w:sz w:val="32"/>
          <w:szCs w:val="32"/>
          <w:lang w:eastAsia="en-US"/>
        </w:rPr>
        <w:t>s</w:t>
      </w:r>
      <w:r w:rsidRPr="000C092F">
        <w:rPr>
          <w:sz w:val="32"/>
          <w:szCs w:val="32"/>
          <w:lang w:val="fr" w:eastAsia="en-US"/>
        </w:rPr>
        <w:t xml:space="preserve"> </w:t>
      </w:r>
      <w:r w:rsidRPr="000C092F">
        <w:rPr>
          <w:sz w:val="32"/>
          <w:szCs w:val="32"/>
          <w:lang w:eastAsia="en-US"/>
        </w:rPr>
        <w:t xml:space="preserve">comme celui de la zone de Nouna au </w:t>
      </w:r>
      <w:r w:rsidRPr="000C092F">
        <w:rPr>
          <w:sz w:val="32"/>
          <w:szCs w:val="32"/>
          <w:lang w:val="fr" w:eastAsia="en-US"/>
        </w:rPr>
        <w:t>Burkina Faso.</w:t>
      </w:r>
    </w:p>
    <w:p w14:paraId="08E33008" w14:textId="77777777" w:rsidR="0005526A" w:rsidRPr="0005526A" w:rsidRDefault="0005526A" w:rsidP="0005526A">
      <w:pPr>
        <w:spacing w:after="11" w:line="276" w:lineRule="auto"/>
        <w:ind w:right="363" w:firstLine="0"/>
        <w:rPr>
          <w:b/>
          <w:bCs/>
          <w:sz w:val="32"/>
          <w:szCs w:val="32"/>
          <w:vertAlign w:val="superscript"/>
          <w:lang w:eastAsia="en-US"/>
        </w:rPr>
      </w:pPr>
      <w:r w:rsidRPr="0005526A">
        <w:rPr>
          <w:b/>
          <w:bCs/>
          <w:sz w:val="32"/>
          <w:szCs w:val="32"/>
          <w:lang w:eastAsia="en-US"/>
        </w:rPr>
        <w:t>NIAMBA Louis</w:t>
      </w:r>
      <w:r w:rsidRPr="0005526A">
        <w:rPr>
          <w:b/>
          <w:bCs/>
          <w:sz w:val="32"/>
          <w:szCs w:val="32"/>
          <w:vertAlign w:val="superscript"/>
          <w:lang w:eastAsia="en-US"/>
        </w:rPr>
        <w:t>1</w:t>
      </w:r>
      <w:r w:rsidRPr="0005526A">
        <w:rPr>
          <w:b/>
          <w:bCs/>
          <w:sz w:val="32"/>
          <w:szCs w:val="32"/>
          <w:lang w:eastAsia="en-US"/>
        </w:rPr>
        <w:t xml:space="preserve"> </w:t>
      </w:r>
      <w:r w:rsidRPr="0005526A">
        <w:rPr>
          <w:b/>
          <w:bCs/>
          <w:sz w:val="32"/>
          <w:szCs w:val="32"/>
          <w:lang w:val="fr-CA" w:eastAsia="en-US"/>
        </w:rPr>
        <w:t xml:space="preserve">; </w:t>
      </w:r>
      <w:r w:rsidRPr="0005526A">
        <w:rPr>
          <w:b/>
          <w:bCs/>
          <w:sz w:val="32"/>
          <w:szCs w:val="32"/>
          <w:lang w:eastAsia="en-US"/>
        </w:rPr>
        <w:t>BLOMSTEDT Yulia</w:t>
      </w:r>
      <w:r w:rsidRPr="0005526A">
        <w:rPr>
          <w:b/>
          <w:bCs/>
          <w:sz w:val="32"/>
          <w:szCs w:val="32"/>
          <w:vertAlign w:val="superscript"/>
          <w:lang w:eastAsia="en-US"/>
        </w:rPr>
        <w:t>2,3</w:t>
      </w:r>
      <w:r w:rsidRPr="0005526A">
        <w:rPr>
          <w:b/>
          <w:bCs/>
          <w:sz w:val="32"/>
          <w:szCs w:val="32"/>
          <w:lang w:val="fr-CA" w:eastAsia="en-US"/>
        </w:rPr>
        <w:t xml:space="preserve">; </w:t>
      </w:r>
      <w:r w:rsidRPr="0005526A">
        <w:rPr>
          <w:b/>
          <w:bCs/>
          <w:sz w:val="32"/>
          <w:szCs w:val="32"/>
          <w:lang w:eastAsia="en-US"/>
        </w:rPr>
        <w:t>SOUARES Aurélia</w:t>
      </w:r>
      <w:r w:rsidRPr="0005526A">
        <w:rPr>
          <w:b/>
          <w:bCs/>
          <w:sz w:val="32"/>
          <w:szCs w:val="32"/>
          <w:vertAlign w:val="superscript"/>
          <w:lang w:eastAsia="en-US"/>
        </w:rPr>
        <w:t>4</w:t>
      </w:r>
      <w:r w:rsidRPr="0005526A">
        <w:rPr>
          <w:b/>
          <w:bCs/>
          <w:sz w:val="32"/>
          <w:szCs w:val="32"/>
          <w:lang w:val="fr-CA" w:eastAsia="en-US"/>
        </w:rPr>
        <w:t xml:space="preserve">; </w:t>
      </w:r>
      <w:r w:rsidRPr="0005526A">
        <w:rPr>
          <w:b/>
          <w:bCs/>
          <w:sz w:val="32"/>
          <w:szCs w:val="32"/>
          <w:lang w:eastAsia="en-US"/>
        </w:rPr>
        <w:t>SIE Ali</w:t>
      </w:r>
      <w:r w:rsidRPr="0005526A">
        <w:rPr>
          <w:b/>
          <w:bCs/>
          <w:sz w:val="32"/>
          <w:szCs w:val="32"/>
          <w:vertAlign w:val="superscript"/>
          <w:lang w:eastAsia="en-US"/>
        </w:rPr>
        <w:t>5</w:t>
      </w:r>
      <w:r w:rsidRPr="0005526A">
        <w:rPr>
          <w:b/>
          <w:bCs/>
          <w:sz w:val="32"/>
          <w:szCs w:val="32"/>
          <w:lang w:eastAsia="en-US"/>
        </w:rPr>
        <w:t>; WEINEHALL Lars</w:t>
      </w:r>
      <w:r w:rsidRPr="0005526A">
        <w:rPr>
          <w:b/>
          <w:bCs/>
          <w:sz w:val="32"/>
          <w:szCs w:val="32"/>
          <w:vertAlign w:val="superscript"/>
          <w:lang w:eastAsia="en-US"/>
        </w:rPr>
        <w:t>2</w:t>
      </w:r>
      <w:r w:rsidRPr="0005526A">
        <w:rPr>
          <w:b/>
          <w:bCs/>
          <w:sz w:val="32"/>
          <w:szCs w:val="32"/>
          <w:lang w:eastAsia="en-US"/>
        </w:rPr>
        <w:t>; SAUERBORN Rainer</w:t>
      </w:r>
      <w:r w:rsidRPr="0005526A">
        <w:rPr>
          <w:b/>
          <w:bCs/>
          <w:sz w:val="32"/>
          <w:szCs w:val="32"/>
          <w:vertAlign w:val="superscript"/>
          <w:lang w:eastAsia="en-US"/>
        </w:rPr>
        <w:t>2,4</w:t>
      </w:r>
    </w:p>
    <w:p w14:paraId="0EB64AD9" w14:textId="77777777" w:rsidR="0005526A" w:rsidRPr="0005526A" w:rsidRDefault="0005526A" w:rsidP="0005526A">
      <w:pPr>
        <w:spacing w:after="11" w:line="276" w:lineRule="auto"/>
        <w:ind w:right="363" w:firstLine="0"/>
        <w:rPr>
          <w:i/>
          <w:iCs/>
          <w:sz w:val="32"/>
          <w:szCs w:val="32"/>
          <w:lang w:eastAsia="en-US"/>
        </w:rPr>
      </w:pPr>
      <w:r w:rsidRPr="0005526A">
        <w:rPr>
          <w:i/>
          <w:iCs/>
          <w:sz w:val="32"/>
          <w:szCs w:val="32"/>
          <w:vertAlign w:val="superscript"/>
          <w:lang w:eastAsia="en-US"/>
        </w:rPr>
        <w:t>1</w:t>
      </w:r>
      <w:r w:rsidRPr="0005526A">
        <w:rPr>
          <w:i/>
          <w:iCs/>
          <w:sz w:val="32"/>
          <w:szCs w:val="32"/>
          <w:lang w:eastAsia="en-US"/>
        </w:rPr>
        <w:t>Centre National de Recherche Scientifique et Technologique/Institut des Sciences des Sociétés/Laboratoire de Recherche sur le Patrimoine et Développement Durable/Ouagadougou/Burkina Faso</w:t>
      </w:r>
    </w:p>
    <w:p w14:paraId="02621332" w14:textId="77777777" w:rsidR="0005526A" w:rsidRPr="0005526A" w:rsidRDefault="0005526A" w:rsidP="0005526A">
      <w:pPr>
        <w:spacing w:after="11" w:line="276" w:lineRule="auto"/>
        <w:ind w:right="363" w:firstLine="0"/>
        <w:rPr>
          <w:i/>
          <w:iCs/>
          <w:sz w:val="32"/>
          <w:szCs w:val="32"/>
          <w:lang w:eastAsia="en-US"/>
        </w:rPr>
      </w:pPr>
      <w:r w:rsidRPr="0005526A">
        <w:rPr>
          <w:i/>
          <w:iCs/>
          <w:sz w:val="32"/>
          <w:szCs w:val="32"/>
          <w:vertAlign w:val="superscript"/>
          <w:lang w:eastAsia="en-US"/>
        </w:rPr>
        <w:t>2</w:t>
      </w:r>
      <w:r w:rsidRPr="0005526A">
        <w:rPr>
          <w:i/>
          <w:iCs/>
          <w:sz w:val="32"/>
          <w:szCs w:val="32"/>
          <w:lang w:eastAsia="en-US"/>
        </w:rPr>
        <w:t xml:space="preserve">Umea Centre for Global </w:t>
      </w:r>
      <w:proofErr w:type="spellStart"/>
      <w:r w:rsidRPr="0005526A">
        <w:rPr>
          <w:i/>
          <w:iCs/>
          <w:sz w:val="32"/>
          <w:szCs w:val="32"/>
          <w:lang w:eastAsia="en-US"/>
        </w:rPr>
        <w:t>Health</w:t>
      </w:r>
      <w:proofErr w:type="spellEnd"/>
      <w:r w:rsidRPr="0005526A">
        <w:rPr>
          <w:i/>
          <w:iCs/>
          <w:sz w:val="32"/>
          <w:szCs w:val="32"/>
          <w:lang w:eastAsia="en-US"/>
        </w:rPr>
        <w:t xml:space="preserve"> </w:t>
      </w:r>
      <w:proofErr w:type="spellStart"/>
      <w:r w:rsidRPr="0005526A">
        <w:rPr>
          <w:i/>
          <w:iCs/>
          <w:sz w:val="32"/>
          <w:szCs w:val="32"/>
          <w:lang w:eastAsia="en-US"/>
        </w:rPr>
        <w:t>Research</w:t>
      </w:r>
      <w:proofErr w:type="spellEnd"/>
      <w:r w:rsidRPr="0005526A">
        <w:rPr>
          <w:i/>
          <w:iCs/>
          <w:sz w:val="32"/>
          <w:szCs w:val="32"/>
          <w:lang w:eastAsia="en-US"/>
        </w:rPr>
        <w:t xml:space="preserve"> , Division of  </w:t>
      </w:r>
      <w:proofErr w:type="spellStart"/>
      <w:r w:rsidRPr="0005526A">
        <w:rPr>
          <w:i/>
          <w:iCs/>
          <w:sz w:val="32"/>
          <w:szCs w:val="32"/>
          <w:lang w:eastAsia="en-US"/>
        </w:rPr>
        <w:t>Epidemiology</w:t>
      </w:r>
      <w:proofErr w:type="spellEnd"/>
      <w:r w:rsidRPr="0005526A">
        <w:rPr>
          <w:i/>
          <w:iCs/>
          <w:sz w:val="32"/>
          <w:szCs w:val="32"/>
          <w:lang w:eastAsia="en-US"/>
        </w:rPr>
        <w:t xml:space="preserve"> and Global </w:t>
      </w:r>
      <w:proofErr w:type="spellStart"/>
      <w:r w:rsidRPr="0005526A">
        <w:rPr>
          <w:i/>
          <w:iCs/>
          <w:sz w:val="32"/>
          <w:szCs w:val="32"/>
          <w:lang w:eastAsia="en-US"/>
        </w:rPr>
        <w:t>Health</w:t>
      </w:r>
      <w:proofErr w:type="spellEnd"/>
      <w:r w:rsidRPr="0005526A">
        <w:rPr>
          <w:i/>
          <w:iCs/>
          <w:sz w:val="32"/>
          <w:szCs w:val="32"/>
          <w:lang w:eastAsia="en-US"/>
        </w:rPr>
        <w:t xml:space="preserve">, </w:t>
      </w:r>
      <w:proofErr w:type="spellStart"/>
      <w:r w:rsidRPr="0005526A">
        <w:rPr>
          <w:i/>
          <w:iCs/>
          <w:sz w:val="32"/>
          <w:szCs w:val="32"/>
          <w:lang w:eastAsia="en-US"/>
        </w:rPr>
        <w:t>Department</w:t>
      </w:r>
      <w:proofErr w:type="spellEnd"/>
      <w:r w:rsidRPr="0005526A">
        <w:rPr>
          <w:i/>
          <w:iCs/>
          <w:sz w:val="32"/>
          <w:szCs w:val="32"/>
          <w:lang w:eastAsia="en-US"/>
        </w:rPr>
        <w:t xml:space="preserve"> of Public </w:t>
      </w:r>
      <w:proofErr w:type="spellStart"/>
      <w:r w:rsidRPr="0005526A">
        <w:rPr>
          <w:i/>
          <w:iCs/>
          <w:sz w:val="32"/>
          <w:szCs w:val="32"/>
          <w:lang w:eastAsia="en-US"/>
        </w:rPr>
        <w:t>Health</w:t>
      </w:r>
      <w:proofErr w:type="spellEnd"/>
      <w:r w:rsidRPr="0005526A">
        <w:rPr>
          <w:i/>
          <w:iCs/>
          <w:sz w:val="32"/>
          <w:szCs w:val="32"/>
          <w:lang w:eastAsia="en-US"/>
        </w:rPr>
        <w:t xml:space="preserve"> and </w:t>
      </w:r>
      <w:proofErr w:type="spellStart"/>
      <w:r w:rsidRPr="0005526A">
        <w:rPr>
          <w:i/>
          <w:iCs/>
          <w:sz w:val="32"/>
          <w:szCs w:val="32"/>
          <w:lang w:eastAsia="en-US"/>
        </w:rPr>
        <w:t>Clinical</w:t>
      </w:r>
      <w:proofErr w:type="spellEnd"/>
      <w:r w:rsidRPr="0005526A">
        <w:rPr>
          <w:i/>
          <w:iCs/>
          <w:sz w:val="32"/>
          <w:szCs w:val="32"/>
          <w:lang w:eastAsia="en-US"/>
        </w:rPr>
        <w:t xml:space="preserve"> </w:t>
      </w:r>
      <w:proofErr w:type="spellStart"/>
      <w:r w:rsidRPr="0005526A">
        <w:rPr>
          <w:i/>
          <w:iCs/>
          <w:sz w:val="32"/>
          <w:szCs w:val="32"/>
          <w:lang w:eastAsia="en-US"/>
        </w:rPr>
        <w:t>Medicine</w:t>
      </w:r>
      <w:proofErr w:type="spellEnd"/>
      <w:r w:rsidRPr="0005526A">
        <w:rPr>
          <w:i/>
          <w:iCs/>
          <w:sz w:val="32"/>
          <w:szCs w:val="32"/>
          <w:lang w:eastAsia="en-US"/>
        </w:rPr>
        <w:t xml:space="preserve">, </w:t>
      </w:r>
      <w:proofErr w:type="spellStart"/>
      <w:r w:rsidRPr="0005526A">
        <w:rPr>
          <w:i/>
          <w:iCs/>
          <w:sz w:val="32"/>
          <w:szCs w:val="32"/>
          <w:lang w:eastAsia="en-US"/>
        </w:rPr>
        <w:t>Umea</w:t>
      </w:r>
      <w:proofErr w:type="spellEnd"/>
      <w:r w:rsidRPr="0005526A">
        <w:rPr>
          <w:i/>
          <w:iCs/>
          <w:sz w:val="32"/>
          <w:szCs w:val="32"/>
          <w:lang w:eastAsia="en-US"/>
        </w:rPr>
        <w:t xml:space="preserve"> </w:t>
      </w:r>
      <w:proofErr w:type="spellStart"/>
      <w:r w:rsidRPr="0005526A">
        <w:rPr>
          <w:i/>
          <w:iCs/>
          <w:sz w:val="32"/>
          <w:szCs w:val="32"/>
          <w:lang w:eastAsia="en-US"/>
        </w:rPr>
        <w:t>University</w:t>
      </w:r>
      <w:proofErr w:type="spellEnd"/>
      <w:r w:rsidRPr="0005526A">
        <w:rPr>
          <w:i/>
          <w:iCs/>
          <w:sz w:val="32"/>
          <w:szCs w:val="32"/>
          <w:lang w:eastAsia="en-US"/>
        </w:rPr>
        <w:t xml:space="preserve">, </w:t>
      </w:r>
      <w:proofErr w:type="spellStart"/>
      <w:r w:rsidRPr="0005526A">
        <w:rPr>
          <w:i/>
          <w:iCs/>
          <w:sz w:val="32"/>
          <w:szCs w:val="32"/>
          <w:lang w:eastAsia="en-US"/>
        </w:rPr>
        <w:t>Umea</w:t>
      </w:r>
      <w:proofErr w:type="spellEnd"/>
      <w:r w:rsidRPr="0005526A">
        <w:rPr>
          <w:i/>
          <w:iCs/>
          <w:sz w:val="32"/>
          <w:szCs w:val="32"/>
          <w:lang w:eastAsia="en-US"/>
        </w:rPr>
        <w:t xml:space="preserve">, </w:t>
      </w:r>
      <w:proofErr w:type="spellStart"/>
      <w:r w:rsidRPr="0005526A">
        <w:rPr>
          <w:i/>
          <w:iCs/>
          <w:sz w:val="32"/>
          <w:szCs w:val="32"/>
          <w:lang w:eastAsia="en-US"/>
        </w:rPr>
        <w:t>Sweden</w:t>
      </w:r>
      <w:proofErr w:type="spellEnd"/>
    </w:p>
    <w:p w14:paraId="078706A9" w14:textId="77777777" w:rsidR="0005526A" w:rsidRPr="0005526A" w:rsidRDefault="0005526A" w:rsidP="0005526A">
      <w:pPr>
        <w:spacing w:after="11" w:line="276" w:lineRule="auto"/>
        <w:ind w:right="363" w:firstLine="0"/>
        <w:rPr>
          <w:i/>
          <w:iCs/>
          <w:sz w:val="32"/>
          <w:szCs w:val="32"/>
          <w:lang w:eastAsia="en-US"/>
        </w:rPr>
      </w:pPr>
      <w:r w:rsidRPr="0005526A">
        <w:rPr>
          <w:i/>
          <w:iCs/>
          <w:sz w:val="32"/>
          <w:szCs w:val="32"/>
          <w:vertAlign w:val="superscript"/>
          <w:lang w:eastAsia="en-US"/>
        </w:rPr>
        <w:lastRenderedPageBreak/>
        <w:t>3</w:t>
      </w:r>
      <w:r w:rsidRPr="0005526A">
        <w:rPr>
          <w:i/>
          <w:iCs/>
          <w:sz w:val="32"/>
          <w:szCs w:val="32"/>
          <w:lang w:eastAsia="en-US"/>
        </w:rPr>
        <w:t xml:space="preserve">Centre for Population </w:t>
      </w:r>
      <w:proofErr w:type="spellStart"/>
      <w:r w:rsidRPr="0005526A">
        <w:rPr>
          <w:i/>
          <w:iCs/>
          <w:sz w:val="32"/>
          <w:szCs w:val="32"/>
          <w:lang w:eastAsia="en-US"/>
        </w:rPr>
        <w:t>Studies</w:t>
      </w:r>
      <w:proofErr w:type="spellEnd"/>
      <w:r w:rsidRPr="0005526A">
        <w:rPr>
          <w:i/>
          <w:iCs/>
          <w:sz w:val="32"/>
          <w:szCs w:val="32"/>
          <w:lang w:eastAsia="en-US"/>
        </w:rPr>
        <w:t xml:space="preserve">, </w:t>
      </w:r>
      <w:proofErr w:type="spellStart"/>
      <w:r w:rsidRPr="0005526A">
        <w:rPr>
          <w:i/>
          <w:iCs/>
          <w:sz w:val="32"/>
          <w:szCs w:val="32"/>
          <w:lang w:eastAsia="en-US"/>
        </w:rPr>
        <w:t>Ageing</w:t>
      </w:r>
      <w:proofErr w:type="spellEnd"/>
      <w:r w:rsidRPr="0005526A">
        <w:rPr>
          <w:i/>
          <w:iCs/>
          <w:sz w:val="32"/>
          <w:szCs w:val="32"/>
          <w:lang w:eastAsia="en-US"/>
        </w:rPr>
        <w:t xml:space="preserve"> and Living Conditions Programme, </w:t>
      </w:r>
      <w:proofErr w:type="spellStart"/>
      <w:r w:rsidRPr="0005526A">
        <w:rPr>
          <w:i/>
          <w:iCs/>
          <w:sz w:val="32"/>
          <w:szCs w:val="32"/>
          <w:lang w:eastAsia="en-US"/>
        </w:rPr>
        <w:t>Umea</w:t>
      </w:r>
      <w:proofErr w:type="spellEnd"/>
      <w:r w:rsidRPr="0005526A">
        <w:rPr>
          <w:i/>
          <w:iCs/>
          <w:sz w:val="32"/>
          <w:szCs w:val="32"/>
          <w:lang w:eastAsia="en-US"/>
        </w:rPr>
        <w:t xml:space="preserve"> </w:t>
      </w:r>
      <w:proofErr w:type="spellStart"/>
      <w:r w:rsidRPr="0005526A">
        <w:rPr>
          <w:i/>
          <w:iCs/>
          <w:sz w:val="32"/>
          <w:szCs w:val="32"/>
          <w:lang w:eastAsia="en-US"/>
        </w:rPr>
        <w:t>University</w:t>
      </w:r>
      <w:proofErr w:type="spellEnd"/>
      <w:r w:rsidRPr="0005526A">
        <w:rPr>
          <w:i/>
          <w:iCs/>
          <w:sz w:val="32"/>
          <w:szCs w:val="32"/>
          <w:lang w:eastAsia="en-US"/>
        </w:rPr>
        <w:t xml:space="preserve">, </w:t>
      </w:r>
      <w:proofErr w:type="spellStart"/>
      <w:r w:rsidRPr="0005526A">
        <w:rPr>
          <w:i/>
          <w:iCs/>
          <w:sz w:val="32"/>
          <w:szCs w:val="32"/>
          <w:lang w:eastAsia="en-US"/>
        </w:rPr>
        <w:t>Umea</w:t>
      </w:r>
      <w:proofErr w:type="spellEnd"/>
      <w:r w:rsidRPr="0005526A">
        <w:rPr>
          <w:i/>
          <w:iCs/>
          <w:sz w:val="32"/>
          <w:szCs w:val="32"/>
          <w:lang w:eastAsia="en-US"/>
        </w:rPr>
        <w:t xml:space="preserve">, </w:t>
      </w:r>
      <w:proofErr w:type="spellStart"/>
      <w:r w:rsidRPr="0005526A">
        <w:rPr>
          <w:i/>
          <w:iCs/>
          <w:sz w:val="32"/>
          <w:szCs w:val="32"/>
          <w:lang w:eastAsia="en-US"/>
        </w:rPr>
        <w:t>Sweden</w:t>
      </w:r>
      <w:proofErr w:type="spellEnd"/>
    </w:p>
    <w:p w14:paraId="62173C4A" w14:textId="77777777" w:rsidR="0005526A" w:rsidRPr="0005526A" w:rsidRDefault="0005526A" w:rsidP="0005526A">
      <w:pPr>
        <w:spacing w:after="11" w:line="276" w:lineRule="auto"/>
        <w:ind w:right="363" w:firstLine="0"/>
        <w:rPr>
          <w:i/>
          <w:iCs/>
          <w:sz w:val="32"/>
          <w:szCs w:val="32"/>
          <w:lang w:eastAsia="en-US"/>
        </w:rPr>
      </w:pPr>
      <w:r w:rsidRPr="0005526A">
        <w:rPr>
          <w:i/>
          <w:iCs/>
          <w:sz w:val="32"/>
          <w:szCs w:val="32"/>
          <w:vertAlign w:val="superscript"/>
          <w:lang w:eastAsia="en-US"/>
        </w:rPr>
        <w:t>4</w:t>
      </w:r>
      <w:r w:rsidRPr="0005526A">
        <w:rPr>
          <w:i/>
          <w:iCs/>
          <w:sz w:val="32"/>
          <w:szCs w:val="32"/>
          <w:lang w:eastAsia="en-US"/>
        </w:rPr>
        <w:t xml:space="preserve">Institute of Public </w:t>
      </w:r>
      <w:proofErr w:type="spellStart"/>
      <w:r w:rsidRPr="0005526A">
        <w:rPr>
          <w:i/>
          <w:iCs/>
          <w:sz w:val="32"/>
          <w:szCs w:val="32"/>
          <w:lang w:eastAsia="en-US"/>
        </w:rPr>
        <w:t>Health</w:t>
      </w:r>
      <w:proofErr w:type="spellEnd"/>
      <w:r w:rsidRPr="0005526A">
        <w:rPr>
          <w:i/>
          <w:iCs/>
          <w:sz w:val="32"/>
          <w:szCs w:val="32"/>
          <w:lang w:eastAsia="en-US"/>
        </w:rPr>
        <w:t xml:space="preserve">, </w:t>
      </w:r>
      <w:proofErr w:type="spellStart"/>
      <w:r w:rsidRPr="0005526A">
        <w:rPr>
          <w:i/>
          <w:iCs/>
          <w:sz w:val="32"/>
          <w:szCs w:val="32"/>
          <w:lang w:eastAsia="en-US"/>
        </w:rPr>
        <w:t>University</w:t>
      </w:r>
      <w:proofErr w:type="spellEnd"/>
      <w:r w:rsidRPr="0005526A">
        <w:rPr>
          <w:i/>
          <w:iCs/>
          <w:sz w:val="32"/>
          <w:szCs w:val="32"/>
          <w:lang w:eastAsia="en-US"/>
        </w:rPr>
        <w:t xml:space="preserve"> of Heidelberg, 69120 Heidelberg, Germany</w:t>
      </w:r>
    </w:p>
    <w:p w14:paraId="3070CAE0" w14:textId="77777777" w:rsidR="0005526A" w:rsidRPr="0005526A" w:rsidRDefault="0005526A" w:rsidP="0005526A">
      <w:pPr>
        <w:spacing w:after="11" w:line="276" w:lineRule="auto"/>
        <w:ind w:right="363" w:firstLine="0"/>
        <w:rPr>
          <w:i/>
          <w:iCs/>
          <w:sz w:val="32"/>
          <w:szCs w:val="32"/>
          <w:lang w:eastAsia="en-US"/>
        </w:rPr>
      </w:pPr>
      <w:r w:rsidRPr="0005526A">
        <w:rPr>
          <w:i/>
          <w:iCs/>
          <w:sz w:val="32"/>
          <w:szCs w:val="32"/>
          <w:vertAlign w:val="superscript"/>
          <w:lang w:eastAsia="en-US"/>
        </w:rPr>
        <w:t>5</w:t>
      </w:r>
      <w:r w:rsidRPr="0005526A">
        <w:rPr>
          <w:i/>
          <w:iCs/>
          <w:sz w:val="32"/>
          <w:szCs w:val="32"/>
          <w:lang w:eastAsia="en-US"/>
        </w:rPr>
        <w:t>Centre de Recherche en Santé de Nouna, Burkina Faso</w:t>
      </w:r>
    </w:p>
    <w:p w14:paraId="5DDE86FE" w14:textId="769D661A" w:rsidR="00DB14A1" w:rsidRPr="0005526A" w:rsidRDefault="0005526A" w:rsidP="0005526A">
      <w:pPr>
        <w:spacing w:after="11" w:line="276" w:lineRule="auto"/>
        <w:ind w:right="363" w:firstLine="0"/>
        <w:rPr>
          <w:sz w:val="32"/>
          <w:szCs w:val="32"/>
          <w:vertAlign w:val="subscript"/>
          <w:lang w:val="fr-CA" w:eastAsia="en-US"/>
        </w:rPr>
      </w:pPr>
      <w:r w:rsidRPr="0005526A">
        <w:rPr>
          <w:sz w:val="32"/>
          <w:szCs w:val="32"/>
          <w:vertAlign w:val="subscript"/>
          <w:lang w:val="fr-CA" w:eastAsia="en-US"/>
        </w:rPr>
        <w:t>Adresse de l’auteur correspondant </w:t>
      </w:r>
      <w:r w:rsidRPr="0005526A">
        <w:rPr>
          <w:sz w:val="32"/>
          <w:szCs w:val="32"/>
          <w:vertAlign w:val="subscript"/>
          <w:lang w:eastAsia="en-US"/>
        </w:rPr>
        <w:t>de l’article de vulgarisation</w:t>
      </w:r>
      <w:r w:rsidRPr="0005526A">
        <w:rPr>
          <w:sz w:val="32"/>
          <w:szCs w:val="32"/>
          <w:vertAlign w:val="subscript"/>
          <w:lang w:val="fr-CA" w:eastAsia="en-US"/>
        </w:rPr>
        <w:t xml:space="preserve">: </w:t>
      </w:r>
      <w:r w:rsidRPr="0005526A">
        <w:rPr>
          <w:b/>
          <w:bCs/>
          <w:sz w:val="32"/>
          <w:szCs w:val="32"/>
          <w:vertAlign w:val="subscript"/>
          <w:lang w:val="fr-CA" w:eastAsia="en-US"/>
        </w:rPr>
        <w:t>NIAMBA Louis</w:t>
      </w:r>
      <w:r w:rsidRPr="0005526A">
        <w:rPr>
          <w:sz w:val="32"/>
          <w:szCs w:val="32"/>
          <w:vertAlign w:val="subscript"/>
          <w:lang w:val="fr-CA" w:eastAsia="en-US"/>
        </w:rPr>
        <w:t>, Email : niamba_louis@yahoo.fr</w:t>
      </w:r>
    </w:p>
    <w:p w14:paraId="3CEDA261" w14:textId="77777777" w:rsidR="00DB14A1" w:rsidRPr="000C092F" w:rsidRDefault="00000000">
      <w:pPr>
        <w:pStyle w:val="Paragraphedeliste"/>
        <w:spacing w:line="23" w:lineRule="atLeast"/>
        <w:ind w:left="0"/>
        <w:rPr>
          <w:rFonts w:ascii="Times New Roman" w:hAnsi="Times New Roman" w:cs="Times New Roman"/>
          <w:sz w:val="32"/>
          <w:szCs w:val="32"/>
        </w:rPr>
      </w:pPr>
      <w:r w:rsidRPr="000C092F">
        <w:rPr>
          <w:rFonts w:ascii="Times New Roman" w:hAnsi="Times New Roman" w:cs="Times New Roman"/>
          <w:b/>
          <w:sz w:val="32"/>
          <w:szCs w:val="32"/>
        </w:rPr>
        <w:t>Références bibliographiques</w:t>
      </w:r>
      <w:r w:rsidRPr="000C092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37B307E" w14:textId="584A8FDF" w:rsidR="00DB14A1" w:rsidRPr="000C092F" w:rsidRDefault="00000000">
      <w:pPr>
        <w:spacing w:line="23" w:lineRule="atLeast"/>
        <w:ind w:firstLine="0"/>
        <w:rPr>
          <w:sz w:val="32"/>
          <w:szCs w:val="32"/>
          <w:lang w:eastAsia="en-US"/>
        </w:rPr>
      </w:pPr>
      <w:proofErr w:type="spellStart"/>
      <w:r w:rsidRPr="000C092F">
        <w:rPr>
          <w:sz w:val="32"/>
          <w:szCs w:val="32"/>
          <w:lang w:eastAsia="en-US"/>
        </w:rPr>
        <w:t>Blomstedt</w:t>
      </w:r>
      <w:proofErr w:type="spellEnd"/>
      <w:r w:rsidRPr="000C092F">
        <w:rPr>
          <w:sz w:val="32"/>
          <w:szCs w:val="32"/>
          <w:lang w:eastAsia="en-US"/>
        </w:rPr>
        <w:t xml:space="preserve">, Y., </w:t>
      </w:r>
      <w:proofErr w:type="spellStart"/>
      <w:r w:rsidRPr="000C092F">
        <w:rPr>
          <w:sz w:val="32"/>
          <w:szCs w:val="32"/>
          <w:lang w:eastAsia="en-US"/>
        </w:rPr>
        <w:t>Souares</w:t>
      </w:r>
      <w:proofErr w:type="spellEnd"/>
      <w:r w:rsidRPr="000C092F">
        <w:rPr>
          <w:sz w:val="32"/>
          <w:szCs w:val="32"/>
          <w:lang w:eastAsia="en-US"/>
        </w:rPr>
        <w:t xml:space="preserve">, A., </w:t>
      </w:r>
      <w:proofErr w:type="spellStart"/>
      <w:r w:rsidRPr="000C092F">
        <w:rPr>
          <w:sz w:val="32"/>
          <w:szCs w:val="32"/>
          <w:lang w:eastAsia="en-US"/>
        </w:rPr>
        <w:t>Niamba</w:t>
      </w:r>
      <w:proofErr w:type="spellEnd"/>
      <w:r w:rsidRPr="000C092F">
        <w:rPr>
          <w:sz w:val="32"/>
          <w:szCs w:val="32"/>
          <w:lang w:eastAsia="en-US"/>
        </w:rPr>
        <w:t xml:space="preserve">, L., </w:t>
      </w:r>
      <w:proofErr w:type="spellStart"/>
      <w:r w:rsidRPr="000C092F">
        <w:rPr>
          <w:sz w:val="32"/>
          <w:szCs w:val="32"/>
          <w:lang w:eastAsia="en-US"/>
        </w:rPr>
        <w:t>Sie</w:t>
      </w:r>
      <w:proofErr w:type="spellEnd"/>
      <w:r w:rsidRPr="000C092F">
        <w:rPr>
          <w:sz w:val="32"/>
          <w:szCs w:val="32"/>
          <w:lang w:eastAsia="en-US"/>
        </w:rPr>
        <w:t xml:space="preserve">, A., </w:t>
      </w:r>
      <w:proofErr w:type="spellStart"/>
      <w:r w:rsidRPr="000C092F">
        <w:rPr>
          <w:sz w:val="32"/>
          <w:szCs w:val="32"/>
          <w:lang w:eastAsia="en-US"/>
        </w:rPr>
        <w:t>Weinehall</w:t>
      </w:r>
      <w:proofErr w:type="spellEnd"/>
      <w:r w:rsidRPr="000C092F">
        <w:rPr>
          <w:sz w:val="32"/>
          <w:szCs w:val="32"/>
          <w:lang w:eastAsia="en-US"/>
        </w:rPr>
        <w:t xml:space="preserve">, L., &amp; </w:t>
      </w:r>
      <w:proofErr w:type="spellStart"/>
      <w:r w:rsidRPr="000C092F">
        <w:rPr>
          <w:sz w:val="32"/>
          <w:szCs w:val="32"/>
          <w:lang w:eastAsia="en-US"/>
        </w:rPr>
        <w:t>Sauerborn</w:t>
      </w:r>
      <w:proofErr w:type="spellEnd"/>
      <w:r w:rsidRPr="000C092F">
        <w:rPr>
          <w:sz w:val="32"/>
          <w:szCs w:val="32"/>
          <w:lang w:eastAsia="en-US"/>
        </w:rPr>
        <w:t xml:space="preserve">, R. (2012). </w:t>
      </w:r>
      <w:proofErr w:type="spellStart"/>
      <w:r w:rsidRPr="000C092F">
        <w:rPr>
          <w:sz w:val="32"/>
          <w:szCs w:val="32"/>
          <w:lang w:eastAsia="en-US"/>
        </w:rPr>
        <w:t>Measuring</w:t>
      </w:r>
      <w:proofErr w:type="spellEnd"/>
      <w:r w:rsidRPr="000C092F">
        <w:rPr>
          <w:sz w:val="32"/>
          <w:szCs w:val="32"/>
          <w:lang w:eastAsia="en-US"/>
        </w:rPr>
        <w:t xml:space="preserve"> self-</w:t>
      </w:r>
      <w:proofErr w:type="spellStart"/>
      <w:r w:rsidRPr="000C092F">
        <w:rPr>
          <w:sz w:val="32"/>
          <w:szCs w:val="32"/>
          <w:lang w:eastAsia="en-US"/>
        </w:rPr>
        <w:t>reported</w:t>
      </w:r>
      <w:proofErr w:type="spellEnd"/>
      <w:r w:rsidRPr="000C092F">
        <w:rPr>
          <w:sz w:val="32"/>
          <w:szCs w:val="32"/>
          <w:lang w:eastAsia="en-US"/>
        </w:rPr>
        <w:t xml:space="preserve"> </w:t>
      </w:r>
      <w:proofErr w:type="spellStart"/>
      <w:r w:rsidRPr="000C092F">
        <w:rPr>
          <w:sz w:val="32"/>
          <w:szCs w:val="32"/>
          <w:lang w:eastAsia="en-US"/>
        </w:rPr>
        <w:t>health</w:t>
      </w:r>
      <w:proofErr w:type="spellEnd"/>
      <w:r w:rsidRPr="000C092F">
        <w:rPr>
          <w:sz w:val="32"/>
          <w:szCs w:val="32"/>
          <w:lang w:eastAsia="en-US"/>
        </w:rPr>
        <w:t xml:space="preserve"> in </w:t>
      </w:r>
      <w:proofErr w:type="spellStart"/>
      <w:r w:rsidRPr="000C092F">
        <w:rPr>
          <w:sz w:val="32"/>
          <w:szCs w:val="32"/>
          <w:lang w:eastAsia="en-US"/>
        </w:rPr>
        <w:t>low-income</w:t>
      </w:r>
      <w:proofErr w:type="spellEnd"/>
      <w:r w:rsidRPr="000C092F">
        <w:rPr>
          <w:sz w:val="32"/>
          <w:szCs w:val="32"/>
          <w:lang w:eastAsia="en-US"/>
        </w:rPr>
        <w:t xml:space="preserve"> countries</w:t>
      </w:r>
      <w:r w:rsidR="00320481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eastAsia="en-US"/>
        </w:rPr>
        <w:t xml:space="preserve">: </w:t>
      </w:r>
      <w:proofErr w:type="spellStart"/>
      <w:r w:rsidRPr="000C092F">
        <w:rPr>
          <w:sz w:val="32"/>
          <w:szCs w:val="32"/>
          <w:lang w:eastAsia="en-US"/>
        </w:rPr>
        <w:t>piloting</w:t>
      </w:r>
      <w:proofErr w:type="spellEnd"/>
      <w:r w:rsidRPr="000C092F">
        <w:rPr>
          <w:sz w:val="32"/>
          <w:szCs w:val="32"/>
          <w:lang w:eastAsia="en-US"/>
        </w:rPr>
        <w:t xml:space="preserve"> </w:t>
      </w:r>
      <w:proofErr w:type="spellStart"/>
      <w:r w:rsidRPr="000C092F">
        <w:rPr>
          <w:sz w:val="32"/>
          <w:szCs w:val="32"/>
          <w:lang w:eastAsia="en-US"/>
        </w:rPr>
        <w:t>three</w:t>
      </w:r>
      <w:proofErr w:type="spellEnd"/>
      <w:r w:rsidRPr="000C092F">
        <w:rPr>
          <w:sz w:val="32"/>
          <w:szCs w:val="32"/>
          <w:lang w:eastAsia="en-US"/>
        </w:rPr>
        <w:t xml:space="preserve"> instruments in semi-rural Burkina Faso. Global </w:t>
      </w:r>
      <w:proofErr w:type="spellStart"/>
      <w:r w:rsidRPr="000C092F">
        <w:rPr>
          <w:sz w:val="32"/>
          <w:szCs w:val="32"/>
          <w:lang w:eastAsia="en-US"/>
        </w:rPr>
        <w:t>health</w:t>
      </w:r>
      <w:proofErr w:type="spellEnd"/>
      <w:r w:rsidRPr="000C092F">
        <w:rPr>
          <w:sz w:val="32"/>
          <w:szCs w:val="32"/>
          <w:lang w:eastAsia="en-US"/>
        </w:rPr>
        <w:t xml:space="preserve"> action, 5(1), 8488 </w:t>
      </w:r>
    </w:p>
    <w:p w14:paraId="28000FAA" w14:textId="3F7E4D35" w:rsidR="00DB14A1" w:rsidRPr="000C092F" w:rsidRDefault="00000000">
      <w:pPr>
        <w:spacing w:line="23" w:lineRule="atLeast"/>
        <w:ind w:firstLine="0"/>
        <w:rPr>
          <w:sz w:val="32"/>
          <w:szCs w:val="32"/>
          <w:lang w:eastAsia="en-US"/>
        </w:rPr>
      </w:pPr>
      <w:r w:rsidRPr="000C092F">
        <w:rPr>
          <w:sz w:val="32"/>
          <w:szCs w:val="32"/>
          <w:lang w:eastAsia="en-US"/>
        </w:rPr>
        <w:t xml:space="preserve">De </w:t>
      </w:r>
      <w:proofErr w:type="spellStart"/>
      <w:r w:rsidRPr="000C092F">
        <w:rPr>
          <w:sz w:val="32"/>
          <w:szCs w:val="32"/>
          <w:lang w:eastAsia="en-US"/>
        </w:rPr>
        <w:t>Bruin</w:t>
      </w:r>
      <w:proofErr w:type="spellEnd"/>
      <w:r w:rsidRPr="000C092F">
        <w:rPr>
          <w:sz w:val="32"/>
          <w:szCs w:val="32"/>
          <w:lang w:eastAsia="en-US"/>
        </w:rPr>
        <w:t xml:space="preserve"> A, </w:t>
      </w:r>
      <w:proofErr w:type="spellStart"/>
      <w:r w:rsidRPr="000C092F">
        <w:rPr>
          <w:sz w:val="32"/>
          <w:szCs w:val="32"/>
          <w:lang w:eastAsia="en-US"/>
        </w:rPr>
        <w:t>Picavet</w:t>
      </w:r>
      <w:proofErr w:type="spellEnd"/>
      <w:r w:rsidRPr="000C092F">
        <w:rPr>
          <w:sz w:val="32"/>
          <w:szCs w:val="32"/>
          <w:lang w:eastAsia="en-US"/>
        </w:rPr>
        <w:t xml:space="preserve"> HSJ, </w:t>
      </w:r>
      <w:proofErr w:type="spellStart"/>
      <w:r w:rsidRPr="000C092F">
        <w:rPr>
          <w:sz w:val="32"/>
          <w:szCs w:val="32"/>
          <w:lang w:eastAsia="en-US"/>
        </w:rPr>
        <w:t>Nossikov</w:t>
      </w:r>
      <w:proofErr w:type="spellEnd"/>
      <w:r w:rsidRPr="000C092F">
        <w:rPr>
          <w:sz w:val="32"/>
          <w:szCs w:val="32"/>
          <w:lang w:eastAsia="en-US"/>
        </w:rPr>
        <w:t xml:space="preserve"> A (1996). </w:t>
      </w:r>
      <w:proofErr w:type="spellStart"/>
      <w:r w:rsidRPr="000C092F">
        <w:rPr>
          <w:sz w:val="32"/>
          <w:szCs w:val="32"/>
          <w:lang w:eastAsia="en-US"/>
        </w:rPr>
        <w:t>Health</w:t>
      </w:r>
      <w:proofErr w:type="spellEnd"/>
      <w:r w:rsidRPr="000C092F">
        <w:rPr>
          <w:sz w:val="32"/>
          <w:szCs w:val="32"/>
          <w:lang w:eastAsia="en-US"/>
        </w:rPr>
        <w:t xml:space="preserve"> interview </w:t>
      </w:r>
      <w:proofErr w:type="spellStart"/>
      <w:r w:rsidRPr="000C092F">
        <w:rPr>
          <w:sz w:val="32"/>
          <w:szCs w:val="32"/>
          <w:lang w:eastAsia="en-US"/>
        </w:rPr>
        <w:t>surveys</w:t>
      </w:r>
      <w:proofErr w:type="spellEnd"/>
      <w:r w:rsidRPr="000C092F">
        <w:rPr>
          <w:sz w:val="32"/>
          <w:szCs w:val="32"/>
          <w:lang w:eastAsia="en-US"/>
        </w:rPr>
        <w:t xml:space="preserve">. </w:t>
      </w:r>
      <w:proofErr w:type="spellStart"/>
      <w:r w:rsidRPr="000C092F">
        <w:rPr>
          <w:sz w:val="32"/>
          <w:szCs w:val="32"/>
          <w:lang w:eastAsia="en-US"/>
        </w:rPr>
        <w:t>Towards</w:t>
      </w:r>
      <w:proofErr w:type="spellEnd"/>
      <w:r w:rsidRPr="000C092F">
        <w:rPr>
          <w:sz w:val="32"/>
          <w:szCs w:val="32"/>
          <w:lang w:eastAsia="en-US"/>
        </w:rPr>
        <w:t xml:space="preserve"> international </w:t>
      </w:r>
      <w:proofErr w:type="spellStart"/>
      <w:r w:rsidRPr="000C092F">
        <w:rPr>
          <w:sz w:val="32"/>
          <w:szCs w:val="32"/>
          <w:lang w:eastAsia="en-US"/>
        </w:rPr>
        <w:t>harmonization</w:t>
      </w:r>
      <w:proofErr w:type="spellEnd"/>
      <w:r w:rsidRPr="000C092F">
        <w:rPr>
          <w:sz w:val="32"/>
          <w:szCs w:val="32"/>
          <w:lang w:eastAsia="en-US"/>
        </w:rPr>
        <w:t xml:space="preserve"> of </w:t>
      </w:r>
      <w:proofErr w:type="spellStart"/>
      <w:r w:rsidRPr="000C092F">
        <w:rPr>
          <w:sz w:val="32"/>
          <w:szCs w:val="32"/>
          <w:lang w:eastAsia="en-US"/>
        </w:rPr>
        <w:t>methods</w:t>
      </w:r>
      <w:proofErr w:type="spellEnd"/>
      <w:r w:rsidRPr="000C092F">
        <w:rPr>
          <w:sz w:val="32"/>
          <w:szCs w:val="32"/>
          <w:lang w:eastAsia="en-US"/>
        </w:rPr>
        <w:t xml:space="preserve"> and instruments. WHO </w:t>
      </w:r>
      <w:proofErr w:type="spellStart"/>
      <w:r w:rsidRPr="000C092F">
        <w:rPr>
          <w:sz w:val="32"/>
          <w:szCs w:val="32"/>
          <w:lang w:eastAsia="en-US"/>
        </w:rPr>
        <w:t>Regional</w:t>
      </w:r>
      <w:proofErr w:type="spellEnd"/>
      <w:r w:rsidRPr="000C092F">
        <w:rPr>
          <w:sz w:val="32"/>
          <w:szCs w:val="32"/>
          <w:lang w:eastAsia="en-US"/>
        </w:rPr>
        <w:t xml:space="preserve"> Publications </w:t>
      </w:r>
      <w:proofErr w:type="spellStart"/>
      <w:r w:rsidRPr="000C092F">
        <w:rPr>
          <w:sz w:val="32"/>
          <w:szCs w:val="32"/>
          <w:lang w:eastAsia="en-US"/>
        </w:rPr>
        <w:t>European</w:t>
      </w:r>
      <w:proofErr w:type="spellEnd"/>
      <w:r w:rsidRPr="000C092F">
        <w:rPr>
          <w:sz w:val="32"/>
          <w:szCs w:val="32"/>
          <w:lang w:eastAsia="en-US"/>
        </w:rPr>
        <w:t xml:space="preserve"> </w:t>
      </w:r>
      <w:proofErr w:type="spellStart"/>
      <w:r w:rsidRPr="000C092F">
        <w:rPr>
          <w:sz w:val="32"/>
          <w:szCs w:val="32"/>
          <w:lang w:eastAsia="en-US"/>
        </w:rPr>
        <w:t>Series</w:t>
      </w:r>
      <w:proofErr w:type="spellEnd"/>
      <w:r w:rsidRPr="000C092F">
        <w:rPr>
          <w:sz w:val="32"/>
          <w:szCs w:val="32"/>
          <w:lang w:eastAsia="en-US"/>
        </w:rPr>
        <w:t>, No. 58. Geneva</w:t>
      </w:r>
      <w:r w:rsidR="00320481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eastAsia="en-US"/>
        </w:rPr>
        <w:t>: WHO.</w:t>
      </w:r>
    </w:p>
    <w:p w14:paraId="2565C7F3" w14:textId="77777777" w:rsidR="00DB14A1" w:rsidRPr="000C092F" w:rsidRDefault="00000000">
      <w:pPr>
        <w:spacing w:line="23" w:lineRule="atLeast"/>
        <w:ind w:firstLine="0"/>
        <w:rPr>
          <w:sz w:val="32"/>
          <w:szCs w:val="32"/>
          <w:lang w:eastAsia="en-US"/>
        </w:rPr>
      </w:pPr>
      <w:proofErr w:type="spellStart"/>
      <w:r w:rsidRPr="000C092F">
        <w:rPr>
          <w:sz w:val="32"/>
          <w:szCs w:val="32"/>
          <w:lang w:eastAsia="en-US"/>
        </w:rPr>
        <w:t>Sie</w:t>
      </w:r>
      <w:proofErr w:type="spellEnd"/>
      <w:r w:rsidRPr="000C092F">
        <w:rPr>
          <w:sz w:val="32"/>
          <w:szCs w:val="32"/>
          <w:lang w:eastAsia="en-US"/>
        </w:rPr>
        <w:t xml:space="preserve">, A., Louis, V., </w:t>
      </w:r>
      <w:proofErr w:type="spellStart"/>
      <w:r w:rsidRPr="000C092F">
        <w:rPr>
          <w:sz w:val="32"/>
          <w:szCs w:val="32"/>
          <w:lang w:eastAsia="en-US"/>
        </w:rPr>
        <w:t>Gbangou</w:t>
      </w:r>
      <w:proofErr w:type="spellEnd"/>
      <w:r w:rsidRPr="000C092F">
        <w:rPr>
          <w:sz w:val="32"/>
          <w:szCs w:val="32"/>
          <w:lang w:eastAsia="en-US"/>
        </w:rPr>
        <w:t xml:space="preserve">, A., Müller, O., </w:t>
      </w:r>
      <w:proofErr w:type="spellStart"/>
      <w:r w:rsidRPr="000C092F">
        <w:rPr>
          <w:sz w:val="32"/>
          <w:szCs w:val="32"/>
          <w:lang w:eastAsia="en-US"/>
        </w:rPr>
        <w:t>Niamba</w:t>
      </w:r>
      <w:proofErr w:type="spellEnd"/>
      <w:r w:rsidRPr="000C092F">
        <w:rPr>
          <w:sz w:val="32"/>
          <w:szCs w:val="32"/>
          <w:lang w:eastAsia="en-US"/>
        </w:rPr>
        <w:t xml:space="preserve">, L., </w:t>
      </w:r>
      <w:proofErr w:type="spellStart"/>
      <w:r w:rsidRPr="000C092F">
        <w:rPr>
          <w:sz w:val="32"/>
          <w:szCs w:val="32"/>
          <w:lang w:eastAsia="en-US"/>
        </w:rPr>
        <w:t>Stieglbauer</w:t>
      </w:r>
      <w:proofErr w:type="spellEnd"/>
      <w:r w:rsidRPr="000C092F">
        <w:rPr>
          <w:sz w:val="32"/>
          <w:szCs w:val="32"/>
          <w:lang w:eastAsia="en-US"/>
        </w:rPr>
        <w:t xml:space="preserve">, G. &amp; Becher, H. (2010). The </w:t>
      </w:r>
      <w:proofErr w:type="spellStart"/>
      <w:r w:rsidRPr="000C092F">
        <w:rPr>
          <w:sz w:val="32"/>
          <w:szCs w:val="32"/>
          <w:lang w:eastAsia="en-US"/>
        </w:rPr>
        <w:t>health</w:t>
      </w:r>
      <w:proofErr w:type="spellEnd"/>
      <w:r w:rsidRPr="000C092F">
        <w:rPr>
          <w:sz w:val="32"/>
          <w:szCs w:val="32"/>
          <w:lang w:eastAsia="en-US"/>
        </w:rPr>
        <w:t xml:space="preserve"> and </w:t>
      </w:r>
      <w:proofErr w:type="spellStart"/>
      <w:r w:rsidRPr="000C092F">
        <w:rPr>
          <w:sz w:val="32"/>
          <w:szCs w:val="32"/>
          <w:lang w:eastAsia="en-US"/>
        </w:rPr>
        <w:t>demographic</w:t>
      </w:r>
      <w:proofErr w:type="spellEnd"/>
      <w:r w:rsidRPr="000C092F">
        <w:rPr>
          <w:sz w:val="32"/>
          <w:szCs w:val="32"/>
          <w:lang w:eastAsia="en-US"/>
        </w:rPr>
        <w:t xml:space="preserve"> surveillance system (HDSS) in Nouna, Burkina Faso, 1993–2007. Global </w:t>
      </w:r>
      <w:proofErr w:type="spellStart"/>
      <w:r w:rsidRPr="000C092F">
        <w:rPr>
          <w:sz w:val="32"/>
          <w:szCs w:val="32"/>
          <w:lang w:eastAsia="en-US"/>
        </w:rPr>
        <w:t>health</w:t>
      </w:r>
      <w:proofErr w:type="spellEnd"/>
      <w:r w:rsidRPr="000C092F">
        <w:rPr>
          <w:sz w:val="32"/>
          <w:szCs w:val="32"/>
          <w:lang w:eastAsia="en-US"/>
        </w:rPr>
        <w:t xml:space="preserve"> action, 3(1), 5284.</w:t>
      </w:r>
    </w:p>
    <w:p w14:paraId="4CB46AED" w14:textId="1BE9ECCC" w:rsidR="00DB14A1" w:rsidRPr="000C092F" w:rsidRDefault="00000000">
      <w:pPr>
        <w:spacing w:line="23" w:lineRule="atLeast"/>
        <w:ind w:firstLine="0"/>
        <w:rPr>
          <w:sz w:val="32"/>
          <w:szCs w:val="32"/>
          <w:lang w:eastAsia="en-US"/>
        </w:rPr>
      </w:pPr>
      <w:r w:rsidRPr="000C092F">
        <w:rPr>
          <w:sz w:val="32"/>
          <w:szCs w:val="32"/>
          <w:lang w:eastAsia="en-US"/>
        </w:rPr>
        <w:lastRenderedPageBreak/>
        <w:t xml:space="preserve">Simon JG, De Boer JB, </w:t>
      </w:r>
      <w:proofErr w:type="spellStart"/>
      <w:r w:rsidRPr="000C092F">
        <w:rPr>
          <w:sz w:val="32"/>
          <w:szCs w:val="32"/>
          <w:lang w:eastAsia="en-US"/>
        </w:rPr>
        <w:t>Joung</w:t>
      </w:r>
      <w:proofErr w:type="spellEnd"/>
      <w:r w:rsidRPr="000C092F">
        <w:rPr>
          <w:sz w:val="32"/>
          <w:szCs w:val="32"/>
          <w:lang w:eastAsia="en-US"/>
        </w:rPr>
        <w:t xml:space="preserve"> IM, </w:t>
      </w:r>
      <w:proofErr w:type="spellStart"/>
      <w:r w:rsidRPr="000C092F">
        <w:rPr>
          <w:sz w:val="32"/>
          <w:szCs w:val="32"/>
          <w:lang w:eastAsia="en-US"/>
        </w:rPr>
        <w:t>Bosma</w:t>
      </w:r>
      <w:proofErr w:type="spellEnd"/>
      <w:r w:rsidRPr="000C092F">
        <w:rPr>
          <w:sz w:val="32"/>
          <w:szCs w:val="32"/>
          <w:lang w:eastAsia="en-US"/>
        </w:rPr>
        <w:t xml:space="preserve"> H, </w:t>
      </w:r>
      <w:proofErr w:type="spellStart"/>
      <w:r w:rsidRPr="000C092F">
        <w:rPr>
          <w:sz w:val="32"/>
          <w:szCs w:val="32"/>
          <w:lang w:eastAsia="en-US"/>
        </w:rPr>
        <w:t>Mackenbach</w:t>
      </w:r>
      <w:proofErr w:type="spellEnd"/>
      <w:r w:rsidRPr="000C092F">
        <w:rPr>
          <w:sz w:val="32"/>
          <w:szCs w:val="32"/>
          <w:lang w:eastAsia="en-US"/>
        </w:rPr>
        <w:t xml:space="preserve"> JP. How </w:t>
      </w:r>
      <w:proofErr w:type="spellStart"/>
      <w:r w:rsidRPr="000C092F">
        <w:rPr>
          <w:sz w:val="32"/>
          <w:szCs w:val="32"/>
          <w:lang w:eastAsia="en-US"/>
        </w:rPr>
        <w:t>is</w:t>
      </w:r>
      <w:proofErr w:type="spellEnd"/>
      <w:r w:rsidRPr="000C092F">
        <w:rPr>
          <w:sz w:val="32"/>
          <w:szCs w:val="32"/>
          <w:lang w:eastAsia="en-US"/>
        </w:rPr>
        <w:t xml:space="preserve"> </w:t>
      </w:r>
      <w:proofErr w:type="spellStart"/>
      <w:r w:rsidRPr="000C092F">
        <w:rPr>
          <w:sz w:val="32"/>
          <w:szCs w:val="32"/>
          <w:lang w:eastAsia="en-US"/>
        </w:rPr>
        <w:t>your</w:t>
      </w:r>
      <w:proofErr w:type="spellEnd"/>
      <w:r w:rsidRPr="000C092F">
        <w:rPr>
          <w:sz w:val="32"/>
          <w:szCs w:val="32"/>
          <w:lang w:eastAsia="en-US"/>
        </w:rPr>
        <w:t xml:space="preserve"> </w:t>
      </w:r>
      <w:proofErr w:type="spellStart"/>
      <w:r w:rsidRPr="000C092F">
        <w:rPr>
          <w:sz w:val="32"/>
          <w:szCs w:val="32"/>
          <w:lang w:eastAsia="en-US"/>
        </w:rPr>
        <w:t>health</w:t>
      </w:r>
      <w:proofErr w:type="spellEnd"/>
      <w:r w:rsidRPr="000C092F">
        <w:rPr>
          <w:sz w:val="32"/>
          <w:szCs w:val="32"/>
          <w:lang w:eastAsia="en-US"/>
        </w:rPr>
        <w:t xml:space="preserve"> in </w:t>
      </w:r>
      <w:proofErr w:type="spellStart"/>
      <w:r w:rsidRPr="000C092F">
        <w:rPr>
          <w:sz w:val="32"/>
          <w:szCs w:val="32"/>
          <w:lang w:eastAsia="en-US"/>
        </w:rPr>
        <w:t>general</w:t>
      </w:r>
      <w:proofErr w:type="spellEnd"/>
      <w:r w:rsidR="00320481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eastAsia="en-US"/>
        </w:rPr>
        <w:t xml:space="preserve">? A qualitative </w:t>
      </w:r>
      <w:proofErr w:type="spellStart"/>
      <w:r w:rsidRPr="000C092F">
        <w:rPr>
          <w:sz w:val="32"/>
          <w:szCs w:val="32"/>
          <w:lang w:eastAsia="en-US"/>
        </w:rPr>
        <w:t>study</w:t>
      </w:r>
      <w:proofErr w:type="spellEnd"/>
      <w:r w:rsidRPr="000C092F">
        <w:rPr>
          <w:sz w:val="32"/>
          <w:szCs w:val="32"/>
          <w:lang w:eastAsia="en-US"/>
        </w:rPr>
        <w:t xml:space="preserve"> on self-</w:t>
      </w:r>
      <w:proofErr w:type="spellStart"/>
      <w:r w:rsidRPr="000C092F">
        <w:rPr>
          <w:sz w:val="32"/>
          <w:szCs w:val="32"/>
          <w:lang w:eastAsia="en-US"/>
        </w:rPr>
        <w:t>assessed</w:t>
      </w:r>
      <w:proofErr w:type="spellEnd"/>
      <w:r w:rsidRPr="000C092F">
        <w:rPr>
          <w:sz w:val="32"/>
          <w:szCs w:val="32"/>
          <w:lang w:eastAsia="en-US"/>
        </w:rPr>
        <w:t xml:space="preserve"> </w:t>
      </w:r>
      <w:proofErr w:type="spellStart"/>
      <w:r w:rsidRPr="000C092F">
        <w:rPr>
          <w:sz w:val="32"/>
          <w:szCs w:val="32"/>
          <w:lang w:eastAsia="en-US"/>
        </w:rPr>
        <w:t>health</w:t>
      </w:r>
      <w:proofErr w:type="spellEnd"/>
      <w:r w:rsidRPr="000C092F">
        <w:rPr>
          <w:sz w:val="32"/>
          <w:szCs w:val="32"/>
          <w:lang w:eastAsia="en-US"/>
        </w:rPr>
        <w:t xml:space="preserve">. </w:t>
      </w:r>
      <w:proofErr w:type="spellStart"/>
      <w:r w:rsidRPr="000C092F">
        <w:rPr>
          <w:sz w:val="32"/>
          <w:szCs w:val="32"/>
          <w:lang w:eastAsia="en-US"/>
        </w:rPr>
        <w:t>Eur</w:t>
      </w:r>
      <w:proofErr w:type="spellEnd"/>
      <w:r w:rsidRPr="000C092F">
        <w:rPr>
          <w:sz w:val="32"/>
          <w:szCs w:val="32"/>
          <w:lang w:eastAsia="en-US"/>
        </w:rPr>
        <w:t xml:space="preserve"> J Public </w:t>
      </w:r>
      <w:proofErr w:type="spellStart"/>
      <w:r w:rsidRPr="000C092F">
        <w:rPr>
          <w:sz w:val="32"/>
          <w:szCs w:val="32"/>
          <w:lang w:eastAsia="en-US"/>
        </w:rPr>
        <w:t>Health</w:t>
      </w:r>
      <w:proofErr w:type="spellEnd"/>
      <w:r w:rsidRPr="000C092F">
        <w:rPr>
          <w:sz w:val="32"/>
          <w:szCs w:val="32"/>
          <w:lang w:eastAsia="en-US"/>
        </w:rPr>
        <w:t xml:space="preserve"> 2005</w:t>
      </w:r>
      <w:r w:rsidR="00320481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eastAsia="en-US"/>
        </w:rPr>
        <w:t>; 15</w:t>
      </w:r>
      <w:r w:rsidR="00320481">
        <w:rPr>
          <w:sz w:val="32"/>
          <w:szCs w:val="32"/>
          <w:lang w:eastAsia="en-US"/>
        </w:rPr>
        <w:t xml:space="preserve"> </w:t>
      </w:r>
      <w:r w:rsidRPr="000C092F">
        <w:rPr>
          <w:sz w:val="32"/>
          <w:szCs w:val="32"/>
          <w:lang w:eastAsia="en-US"/>
        </w:rPr>
        <w:t>: 200!8.</w:t>
      </w:r>
    </w:p>
    <w:sectPr w:rsidR="00DB14A1" w:rsidRPr="000C0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8D3E" w14:textId="77777777" w:rsidR="00303D7E" w:rsidRDefault="00303D7E">
      <w:pPr>
        <w:spacing w:line="240" w:lineRule="auto"/>
      </w:pPr>
      <w:r>
        <w:separator/>
      </w:r>
    </w:p>
  </w:endnote>
  <w:endnote w:type="continuationSeparator" w:id="0">
    <w:p w14:paraId="0F5727E4" w14:textId="77777777" w:rsidR="00303D7E" w:rsidRDefault="00303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956F" w14:textId="77777777" w:rsidR="00303D7E" w:rsidRDefault="00303D7E">
      <w:pPr>
        <w:spacing w:before="0"/>
      </w:pPr>
      <w:r>
        <w:separator/>
      </w:r>
    </w:p>
  </w:footnote>
  <w:footnote w:type="continuationSeparator" w:id="0">
    <w:p w14:paraId="02D25BD9" w14:textId="77777777" w:rsidR="00303D7E" w:rsidRDefault="00303D7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526A"/>
    <w:rsid w:val="000C092F"/>
    <w:rsid w:val="00172A27"/>
    <w:rsid w:val="00303D7E"/>
    <w:rsid w:val="00320481"/>
    <w:rsid w:val="0039784D"/>
    <w:rsid w:val="00DB14A1"/>
    <w:rsid w:val="00FA25B2"/>
    <w:rsid w:val="0E110C17"/>
    <w:rsid w:val="0E30562A"/>
    <w:rsid w:val="159923C8"/>
    <w:rsid w:val="1640534E"/>
    <w:rsid w:val="17137920"/>
    <w:rsid w:val="18BB6BB7"/>
    <w:rsid w:val="19155772"/>
    <w:rsid w:val="1C974E74"/>
    <w:rsid w:val="36332D43"/>
    <w:rsid w:val="380A44D9"/>
    <w:rsid w:val="45C32C81"/>
    <w:rsid w:val="46EE2495"/>
    <w:rsid w:val="50750E8F"/>
    <w:rsid w:val="58255CE6"/>
    <w:rsid w:val="5854137A"/>
    <w:rsid w:val="5943682D"/>
    <w:rsid w:val="5CAB0B60"/>
    <w:rsid w:val="5F475EE7"/>
    <w:rsid w:val="67223619"/>
    <w:rsid w:val="67605705"/>
    <w:rsid w:val="67C17EE5"/>
    <w:rsid w:val="6CAF42DD"/>
    <w:rsid w:val="74923DD8"/>
    <w:rsid w:val="75B17B65"/>
    <w:rsid w:val="7A0A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DA9F6"/>
  <w15:docId w15:val="{A768F1FE-8CDD-41B8-B4C9-929BDDB6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 w:qFormat="1"/>
    <w:lsdException w:name="footer" w:uiPriority="0" w:qFormat="1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0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before="120" w:line="264" w:lineRule="auto"/>
      <w:ind w:firstLine="709"/>
      <w:jc w:val="both"/>
    </w:pPr>
    <w:rPr>
      <w:rFonts w:ascii="Times New Roman" w:hAnsi="Times New Roman" w:cs="Times New Roman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-tte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Paragraphedeliste">
    <w:name w:val="List Paragraph"/>
    <w:basedOn w:val="Normal"/>
    <w:uiPriority w:val="34"/>
    <w:qFormat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1181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NEBIE</cp:lastModifiedBy>
  <cp:revision>5</cp:revision>
  <dcterms:created xsi:type="dcterms:W3CDTF">2023-12-07T13:56:00Z</dcterms:created>
  <dcterms:modified xsi:type="dcterms:W3CDTF">2023-12-28T08:43:00Z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1036-12.2.0.13359</vt:lpwstr>
  </property>
  <property fmtid="{D5CDD505-2E9C-101B-9397-08002B2CF9AE}" pid="3" name="ICV">
    <vt:lpwstr>1D02BD3DA5584A95861B01C7FFF41B45_13</vt:lpwstr>
  </property>
</Properties>
</file>